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3" w:rsidRPr="00D43ED3" w:rsidRDefault="00D43ED3" w:rsidP="00D43ED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64A5D"/>
          <w:sz w:val="33"/>
          <w:szCs w:val="33"/>
          <w:lang w:eastAsia="ru-RU"/>
        </w:rPr>
      </w:pPr>
      <w:r w:rsidRPr="00D43ED3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Изменения </w:t>
      </w:r>
      <w:proofErr w:type="spellStart"/>
      <w:r w:rsidRPr="00D43ED3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кэшбека</w:t>
      </w:r>
      <w:proofErr w:type="spellEnd"/>
      <w:r w:rsidRPr="00D43ED3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 по Халве</w:t>
      </w:r>
    </w:p>
    <w:p w:rsidR="00D43ED3" w:rsidRPr="00D43ED3" w:rsidRDefault="00D43ED3" w:rsidP="00D43ED3">
      <w:pPr>
        <w:shd w:val="clear" w:color="auto" w:fill="FFFFFF"/>
        <w:spacing w:after="375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С 23 января 2019 г. мы вносим изменения в Программу балльного </w:t>
      </w:r>
      <w:proofErr w:type="spellStart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кэшбека</w:t>
      </w:r>
      <w:proofErr w:type="spellEnd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.</w:t>
      </w:r>
    </w:p>
    <w:p w:rsidR="00D43ED3" w:rsidRPr="00D43ED3" w:rsidRDefault="00D43ED3" w:rsidP="00D43E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УСЛОВИЯ ДЛЯ </w:t>
      </w:r>
      <w:r w:rsidRPr="00D43ED3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НОВЫХ</w:t>
      </w:r>
      <w:r w:rsidRPr="00D43ED3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 КЛИЕНТОВ, оформивших карту с</w:t>
      </w:r>
      <w:r w:rsidRPr="00D43ED3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</w:t>
      </w:r>
      <w:r w:rsidRPr="00D43ED3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23 января 2019 года:</w:t>
      </w:r>
    </w:p>
    <w:p w:rsidR="00D43ED3" w:rsidRPr="00D43ED3" w:rsidRDefault="00D43ED3" w:rsidP="00D43E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1. Мы отменяем </w:t>
      </w:r>
      <w:proofErr w:type="gram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повышенный</w:t>
      </w:r>
      <w:proofErr w:type="gram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 </w:t>
      </w:r>
      <w:proofErr w:type="spell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кэшбек</w:t>
      </w:r>
      <w:proofErr w:type="spell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. </w:t>
      </w: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br/>
      </w:r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Теперь новые клиенты будут получать </w:t>
      </w: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только </w:t>
      </w:r>
      <w:proofErr w:type="gram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стандартный</w:t>
      </w:r>
      <w:proofErr w:type="gram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 </w:t>
      </w:r>
      <w:proofErr w:type="spell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кэшбек</w:t>
      </w:r>
      <w:proofErr w:type="spell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 за покупки собственными средствами.</w:t>
      </w:r>
    </w:p>
    <w:p w:rsidR="00D43ED3" w:rsidRPr="00D43ED3" w:rsidRDefault="00D43ED3" w:rsidP="00D43ED3">
      <w:pPr>
        <w:shd w:val="clear" w:color="auto" w:fill="FFFFFF"/>
        <w:spacing w:after="375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noProof/>
          <w:color w:val="364A5D"/>
          <w:sz w:val="23"/>
          <w:szCs w:val="23"/>
          <w:lang w:eastAsia="ru-RU"/>
        </w:rPr>
        <w:drawing>
          <wp:inline distT="0" distB="0" distL="0" distR="0" wp14:anchorId="303AACA0" wp14:editId="55FD5150">
            <wp:extent cx="6362700" cy="1470660"/>
            <wp:effectExtent l="0" t="0" r="0" b="0"/>
            <wp:docPr id="1" name="Рисунок 1" descr="https://portal.sovcombank.ru/file/4/c/4c1ff15a2dd8c61f3b42c910e7125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sovcombank.ru/file/4/c/4c1ff15a2dd8c61f3b42c910e71250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D3" w:rsidRPr="00D43ED3" w:rsidRDefault="00D43ED3" w:rsidP="00D43E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(!)</w:t>
      </w:r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 </w:t>
      </w: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Правило по минимальному обороту для получения </w:t>
      </w:r>
      <w:proofErr w:type="spell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кэшбека</w:t>
      </w:r>
      <w:proofErr w:type="spell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 остается без изменений:</w:t>
      </w: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br/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5 покупок любыми средствами в любых магазинах в отчетном периоде на общую сумму от 10 000 рублей</w:t>
      </w:r>
      <w:r w:rsidRPr="00D43ED3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**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.</w:t>
      </w:r>
    </w:p>
    <w:p w:rsidR="00D43ED3" w:rsidRPr="00D43ED3" w:rsidRDefault="00D43ED3" w:rsidP="00D43E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b/>
          <w:bCs/>
          <w:i/>
          <w:iCs/>
          <w:color w:val="364A5D"/>
          <w:sz w:val="23"/>
          <w:szCs w:val="23"/>
          <w:lang w:eastAsia="ru-RU"/>
        </w:rPr>
        <w:t>2.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 </w:t>
      </w:r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Мы отменяем </w:t>
      </w:r>
      <w:proofErr w:type="gram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приветственный</w:t>
      </w:r>
      <w:proofErr w:type="gram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 </w:t>
      </w:r>
      <w:proofErr w:type="spellStart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кэшбек</w:t>
      </w:r>
      <w:proofErr w:type="spellEnd"/>
      <w:r w:rsidRPr="00D43ED3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 5% и вводим условие + 3 месяца рассрочки на первую покупку, </w:t>
      </w:r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совершенную в течение 10 дней с момента открытия карты заемными средствами в сети партнеров телефоном (</w:t>
      </w:r>
      <w:proofErr w:type="spellStart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wallet</w:t>
      </w:r>
      <w:proofErr w:type="spellEnd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).</w:t>
      </w:r>
    </w:p>
    <w:p w:rsidR="00D43ED3" w:rsidRPr="00D43ED3" w:rsidRDefault="00D43ED3" w:rsidP="00D43E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D43ED3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ОБРАТИТЕ ВНИМАНИЕ:</w:t>
      </w:r>
      <w:r w:rsidRPr="00D43ED3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br/>
      </w:r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Клиенты, оформившие карту по 22 января 2019 года включительно, будут получать </w:t>
      </w:r>
      <w:proofErr w:type="gramStart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повышенный</w:t>
      </w:r>
      <w:proofErr w:type="gramEnd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 </w:t>
      </w:r>
      <w:proofErr w:type="spellStart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кэшбек</w:t>
      </w:r>
      <w:proofErr w:type="spellEnd"/>
      <w:r w:rsidRPr="00D43ED3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 до 1 мая 2019 года на доведенных ранее условиях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.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br/>
      </w:r>
      <w:r w:rsidRPr="00D43ED3">
        <w:rPr>
          <w:rFonts w:ascii="Arial" w:eastAsia="Times New Roman" w:hAnsi="Arial" w:cs="Arial"/>
          <w:i/>
          <w:iCs/>
          <w:noProof/>
          <w:color w:val="364A5D"/>
          <w:sz w:val="23"/>
          <w:szCs w:val="23"/>
          <w:lang w:eastAsia="ru-RU"/>
        </w:rPr>
        <w:drawing>
          <wp:inline distT="0" distB="0" distL="0" distR="0" wp14:anchorId="72254612" wp14:editId="1AFE22D8">
            <wp:extent cx="5265420" cy="1669523"/>
            <wp:effectExtent l="0" t="0" r="0" b="6985"/>
            <wp:docPr id="2" name="Рисунок 2" descr="https://portal.sovcombank.ru/file/5/7/57594611bda5207e4e1588103c27b7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sovcombank.ru/file/5/7/57594611bda5207e4e1588103c27b7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br/>
      </w:r>
      <w:r w:rsidRPr="00D43ED3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** 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Покупки в POS-терминалах торгово-сервисных предприятий, которым присвоены МСС-коды – исключения (указаны в Приложении №2</w:t>
      </w:r>
      <w:proofErr w:type="gramStart"/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 )</w:t>
      </w:r>
      <w:proofErr w:type="gramEnd"/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, </w:t>
      </w:r>
      <w:r w:rsidRPr="00D43ED3">
        <w:rPr>
          <w:rFonts w:ascii="Arial" w:eastAsia="Times New Roman" w:hAnsi="Arial" w:cs="Arial"/>
          <w:b/>
          <w:bCs/>
          <w:i/>
          <w:iCs/>
          <w:color w:val="364A5D"/>
          <w:sz w:val="23"/>
          <w:szCs w:val="23"/>
          <w:lang w:eastAsia="ru-RU"/>
        </w:rPr>
        <w:t>не участвуют</w:t>
      </w:r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 xml:space="preserve"> в расчете суммы минимального оборота и в начислении баллов </w:t>
      </w:r>
      <w:proofErr w:type="spellStart"/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кэшбека</w:t>
      </w:r>
      <w:proofErr w:type="spellEnd"/>
      <w:r w:rsidRPr="00D43ED3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.</w:t>
      </w:r>
    </w:p>
    <w:p w:rsidR="00035444" w:rsidRDefault="00035444"/>
    <w:p w:rsidR="00F16C9C" w:rsidRDefault="00F16C9C"/>
    <w:p w:rsidR="00F16C9C" w:rsidRPr="00F16C9C" w:rsidRDefault="00F16C9C" w:rsidP="00F16C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64A5D"/>
          <w:sz w:val="33"/>
          <w:szCs w:val="3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lastRenderedPageBreak/>
        <w:t>Важные даты для каждого владельца Халвы</w:t>
      </w:r>
    </w:p>
    <w:tbl>
      <w:tblPr>
        <w:tblW w:w="103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  <w:gridCol w:w="2232"/>
      </w:tblGrid>
      <w:tr w:rsidR="00F16C9C" w:rsidRPr="00F16C9C" w:rsidTr="00F16C9C">
        <w:tc>
          <w:tcPr>
            <w:tcW w:w="8267" w:type="dxa"/>
            <w:shd w:val="clear" w:color="auto" w:fill="FFFFFF"/>
            <w:vAlign w:val="center"/>
            <w:hideMark/>
          </w:tcPr>
          <w:p w:rsidR="00F16C9C" w:rsidRPr="00F16C9C" w:rsidRDefault="00F16C9C" w:rsidP="00F16C9C">
            <w:pPr>
              <w:spacing w:after="0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F16C9C">
              <w:rPr>
                <w:rFonts w:ascii="Arial" w:eastAsia="Times New Roman" w:hAnsi="Arial" w:cs="Arial"/>
                <w:i/>
                <w:iCs/>
                <w:color w:val="364A5D"/>
                <w:sz w:val="23"/>
                <w:szCs w:val="23"/>
                <w:lang w:eastAsia="ru-RU"/>
              </w:rPr>
              <w:t>Клиент не понимает отличие платежного и отчетного периода? </w:t>
            </w:r>
            <w:r w:rsidRPr="00F16C9C">
              <w:rPr>
                <w:rFonts w:ascii="Arial" w:eastAsia="Times New Roman" w:hAnsi="Arial" w:cs="Arial"/>
                <w:i/>
                <w:iCs/>
                <w:color w:val="364A5D"/>
                <w:sz w:val="23"/>
                <w:szCs w:val="23"/>
                <w:lang w:eastAsia="ru-RU"/>
              </w:rPr>
              <w:br/>
              <w:t xml:space="preserve">Запутался в датах начисления </w:t>
            </w:r>
            <w:proofErr w:type="spellStart"/>
            <w:r w:rsidRPr="00F16C9C">
              <w:rPr>
                <w:rFonts w:ascii="Arial" w:eastAsia="Times New Roman" w:hAnsi="Arial" w:cs="Arial"/>
                <w:i/>
                <w:iCs/>
                <w:color w:val="364A5D"/>
                <w:sz w:val="23"/>
                <w:szCs w:val="23"/>
                <w:lang w:eastAsia="ru-RU"/>
              </w:rPr>
              <w:t>кэшбека</w:t>
            </w:r>
            <w:proofErr w:type="spellEnd"/>
            <w:r w:rsidRPr="00F16C9C">
              <w:rPr>
                <w:rFonts w:ascii="Arial" w:eastAsia="Times New Roman" w:hAnsi="Arial" w:cs="Arial"/>
                <w:i/>
                <w:iCs/>
                <w:color w:val="364A5D"/>
                <w:sz w:val="23"/>
                <w:szCs w:val="23"/>
                <w:lang w:eastAsia="ru-RU"/>
              </w:rPr>
              <w:t xml:space="preserve"> и процентов на остаток? </w:t>
            </w:r>
            <w:r w:rsidRPr="00F16C9C">
              <w:rPr>
                <w:rFonts w:ascii="Arial" w:eastAsia="Times New Roman" w:hAnsi="Arial" w:cs="Arial"/>
                <w:i/>
                <w:iCs/>
                <w:color w:val="364A5D"/>
                <w:sz w:val="23"/>
                <w:szCs w:val="23"/>
                <w:lang w:eastAsia="ru-RU"/>
              </w:rPr>
              <w:br/>
              <w:t>Или не знает, какие покупки по Халве будут учтены для повышения ставки по вкладу?</w:t>
            </w:r>
          </w:p>
          <w:p w:rsidR="00F16C9C" w:rsidRPr="00F16C9C" w:rsidRDefault="00F16C9C" w:rsidP="00F16C9C">
            <w:pPr>
              <w:spacing w:after="0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F16C9C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>Разберитесь в этих важных датах сами и расскажите о них правильно клиентам!</w:t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F16C9C" w:rsidRPr="00F16C9C" w:rsidRDefault="00F16C9C" w:rsidP="00F16C9C">
            <w:pPr>
              <w:spacing w:after="375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F16C9C">
              <w:rPr>
                <w:rFonts w:ascii="Arial" w:eastAsia="Times New Roman" w:hAnsi="Arial" w:cs="Arial"/>
                <w:noProof/>
                <w:color w:val="364A5D"/>
                <w:sz w:val="23"/>
                <w:szCs w:val="23"/>
                <w:lang w:eastAsia="ru-RU"/>
              </w:rPr>
              <w:drawing>
                <wp:inline distT="0" distB="0" distL="0" distR="0" wp14:anchorId="4881FF43" wp14:editId="3E2A7DF7">
                  <wp:extent cx="1417320" cy="1409700"/>
                  <wp:effectExtent l="0" t="0" r="0" b="0"/>
                  <wp:docPr id="3" name="Рисунок 3" descr="https://portal.sovcombank.ru/file/a/a/aa71727660f9f1a0f9d8eb0b8633c5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rtal.sovcombank.ru/file/a/a/aa71727660f9f1a0f9d8eb0b8633c5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 xml:space="preserve">Когда рассчитается минимальный </w:t>
      </w:r>
      <w:proofErr w:type="gramStart"/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платеж</w:t>
      </w:r>
      <w:proofErr w:type="gramEnd"/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 xml:space="preserve"> и в </w:t>
      </w:r>
      <w:proofErr w:type="gramStart"/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какие</w:t>
      </w:r>
      <w:proofErr w:type="gramEnd"/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 xml:space="preserve"> сроки необходимо его внести?</w:t>
      </w:r>
    </w:p>
    <w:p w:rsidR="00F16C9C" w:rsidRPr="00F16C9C" w:rsidRDefault="00F16C9C" w:rsidP="00F16C9C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Отчетный период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– период между двумя датами расчета Минимального обязательного платежа (МОП). Дата </w:t>
      </w:r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(число) 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расчета МОП совпадает с датой </w:t>
      </w:r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(числом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) открытия договора.</w:t>
      </w:r>
    </w:p>
    <w:p w:rsidR="00F16C9C" w:rsidRPr="00F16C9C" w:rsidRDefault="00F16C9C" w:rsidP="00F16C9C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Платёжный период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– период, в течение которого необходимо погасить МОП. Для Халвы он составляет 15 календарных дней.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Например: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Клиент открыл договор по Халве 10 октября.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br/>
        <w:t>Дата расчета МОП – 10 число каждого месяца.</w:t>
      </w:r>
    </w:p>
    <w:p w:rsidR="00F16C9C" w:rsidRPr="00F16C9C" w:rsidRDefault="00F16C9C" w:rsidP="00F16C9C">
      <w:pPr>
        <w:shd w:val="clear" w:color="auto" w:fill="FFFFFF"/>
        <w:spacing w:after="375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noProof/>
          <w:color w:val="364A5D"/>
          <w:sz w:val="23"/>
          <w:szCs w:val="23"/>
          <w:lang w:eastAsia="ru-RU"/>
        </w:rPr>
        <w:drawing>
          <wp:inline distT="0" distB="0" distL="0" distR="0" wp14:anchorId="5600B508" wp14:editId="742DE7F8">
            <wp:extent cx="4956907" cy="1735423"/>
            <wp:effectExtent l="0" t="0" r="0" b="0"/>
            <wp:docPr id="4" name="Рисунок 4" descr="https://portal.sovcombank.ru/file/d/3/d3a6db1e52ed8ee74163e5be924d4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l.sovcombank.ru/file/d/3/d3a6db1e52ed8ee74163e5be924d47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50" cy="17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Когда начисляется </w:t>
      </w:r>
      <w:proofErr w:type="spellStart"/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CashBack</w:t>
      </w:r>
      <w:proofErr w:type="spellEnd"/>
      <w:r w:rsidRPr="00F16C9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</w:t>
      </w:r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и процент на остаток собственных средств?</w:t>
      </w:r>
    </w:p>
    <w:p w:rsidR="00F16C9C" w:rsidRPr="00F16C9C" w:rsidRDefault="00F16C9C" w:rsidP="00F16C9C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Дата начисления процентов на остаток собственных средств = дата </w:t>
      </w:r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(число) 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открытия договора</w:t>
      </w:r>
    </w:p>
    <w:p w:rsidR="00F16C9C" w:rsidRPr="00F16C9C" w:rsidRDefault="00F16C9C" w:rsidP="00F16C9C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Дата начисления </w:t>
      </w:r>
      <w:proofErr w:type="spellStart"/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CashBack</w:t>
      </w:r>
      <w:proofErr w:type="spellEnd"/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 = дата </w:t>
      </w:r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(число) 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открытия договора + 2 дня</w:t>
      </w:r>
    </w:p>
    <w:p w:rsidR="00F16C9C" w:rsidRPr="00F16C9C" w:rsidRDefault="00F16C9C" w:rsidP="00F16C9C">
      <w:pPr>
        <w:numPr>
          <w:ilvl w:val="0"/>
          <w:numId w:val="2"/>
        </w:numPr>
        <w:shd w:val="clear" w:color="auto" w:fill="FFFFFF"/>
        <w:spacing w:after="15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Период, за который проверяется выполнение оборотов по карте для начисления </w:t>
      </w:r>
      <w:proofErr w:type="spellStart"/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кэшбека</w:t>
      </w:r>
      <w:proofErr w:type="spellEnd"/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 xml:space="preserve"> и процента на остаток собственных средств = отчетный период по договору.</w:t>
      </w:r>
    </w:p>
    <w:p w:rsidR="00F16C9C" w:rsidRPr="00F16C9C" w:rsidRDefault="00F16C9C" w:rsidP="00F16C9C">
      <w:pPr>
        <w:shd w:val="clear" w:color="auto" w:fill="FFFFFF"/>
        <w:spacing w:after="375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noProof/>
          <w:color w:val="364A5D"/>
          <w:sz w:val="23"/>
          <w:szCs w:val="23"/>
          <w:lang w:eastAsia="ru-RU"/>
        </w:rPr>
        <w:lastRenderedPageBreak/>
        <w:drawing>
          <wp:inline distT="0" distB="0" distL="0" distR="0" wp14:anchorId="1A13E5E8" wp14:editId="0867B3ED">
            <wp:extent cx="5897880" cy="1753806"/>
            <wp:effectExtent l="0" t="0" r="0" b="0"/>
            <wp:docPr id="5" name="Рисунок 5" descr="https://portal.sovcombank.ru/file/c/a/ca3a3afeefbc138657618dd32421d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tal.sovcombank.ru/file/c/a/ca3a3afeefbc138657618dd32421d9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75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Какой период по Халве учитывается для повышения ставки по вкладам?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Отчетный период для повышения ставки по вкладу — месяц, прошедший с даты </w:t>
      </w:r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(числа</w:t>
      </w:r>
      <w:proofErr w:type="gramStart"/>
      <w:r w:rsidRPr="00F16C9C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)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о</w:t>
      </w:r>
      <w:proofErr w:type="gramEnd"/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ткрытия вклада.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Например: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Вклад открыт 20 октября.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br/>
        <w:t>Для повышения ставки по вкладу будут учитываться операции по Халве с 20 числа каждого месяца по 19 число следующего месяца.</w:t>
      </w:r>
    </w:p>
    <w:p w:rsidR="00F16C9C" w:rsidRPr="00F16C9C" w:rsidRDefault="00F16C9C" w:rsidP="00F16C9C">
      <w:pPr>
        <w:shd w:val="clear" w:color="auto" w:fill="FFFFFF"/>
        <w:spacing w:after="375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noProof/>
          <w:color w:val="364A5D"/>
          <w:sz w:val="23"/>
          <w:szCs w:val="23"/>
          <w:lang w:eastAsia="ru-RU"/>
        </w:rPr>
        <w:drawing>
          <wp:inline distT="0" distB="0" distL="0" distR="0" wp14:anchorId="1EEDFA35" wp14:editId="2AA488DD">
            <wp:extent cx="5927021" cy="1870940"/>
            <wp:effectExtent l="0" t="0" r="0" b="0"/>
            <wp:docPr id="6" name="Рисунок 6" descr="https://portal.sovcombank.ru/file/1/e/1e34995237b5b1f4458c001d9db1a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rtal.sovcombank.ru/file/1/e/1e34995237b5b1f4458c001d9db1ae5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47" cy="18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p w:rsidR="00F16C9C" w:rsidRDefault="00F16C9C"/>
    <w:tbl>
      <w:tblPr>
        <w:tblW w:w="10617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2400"/>
      </w:tblGrid>
      <w:tr w:rsidR="00F16C9C" w:rsidRPr="00F16C9C" w:rsidTr="00F16C9C">
        <w:tc>
          <w:tcPr>
            <w:tcW w:w="8217" w:type="dxa"/>
            <w:shd w:val="clear" w:color="auto" w:fill="FFFFFF"/>
            <w:vAlign w:val="center"/>
          </w:tcPr>
          <w:p w:rsidR="00F16C9C" w:rsidRPr="00F16C9C" w:rsidRDefault="00F16C9C" w:rsidP="00F16C9C">
            <w:pPr>
              <w:spacing w:after="375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val="en-US" w:eastAsia="ru-RU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F16C9C" w:rsidRPr="00F16C9C" w:rsidRDefault="00F16C9C" w:rsidP="00F16C9C">
            <w:pPr>
              <w:spacing w:after="375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</w:p>
        </w:tc>
      </w:tr>
    </w:tbl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noProof/>
          <w:color w:val="364A5D"/>
          <w:sz w:val="23"/>
          <w:szCs w:val="23"/>
          <w:lang w:eastAsia="ru-RU"/>
        </w:rPr>
        <w:drawing>
          <wp:inline distT="0" distB="0" distL="0" distR="0" wp14:anchorId="116AE3B0" wp14:editId="4CAD9E32">
            <wp:extent cx="640080" cy="624840"/>
            <wp:effectExtent l="0" t="0" r="7620" b="3810"/>
            <wp:docPr id="8" name="Рисунок 8" descr="https://portal.sovcombank.ru/file/4/8/48c0f07ce87402247235bb580a928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rtal.sovcombank.ru/file/4/8/48c0f07ce87402247235bb580a9281c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Теперь процентная ставка, начисляемая на остаток собственных средств, </w:t>
      </w:r>
      <w:r w:rsidRPr="00F16C9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зависит от оборота по карте «Халва» и суммы на счёте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 в течение отчётного месяца:</w:t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noProof/>
          <w:color w:val="364A5D"/>
          <w:sz w:val="23"/>
          <w:szCs w:val="23"/>
          <w:lang w:eastAsia="ru-RU"/>
        </w:rPr>
        <w:drawing>
          <wp:inline distT="0" distB="0" distL="0" distR="0" wp14:anchorId="38F9AF3C" wp14:editId="5DC47533">
            <wp:extent cx="5410200" cy="2308105"/>
            <wp:effectExtent l="0" t="0" r="0" b="0"/>
            <wp:docPr id="9" name="Рисунок 9" descr="https://portal.sovcombank.ru/file/a/d/ad42a09e5756c1c2c78284682abd1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rtal.sovcombank.ru/file/a/d/ad42a09e5756c1c2c78284682abd15b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C" w:rsidRPr="00F16C9C" w:rsidRDefault="00F16C9C" w:rsidP="00F16C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F16C9C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(!) </w:t>
      </w:r>
      <w:r w:rsidRPr="00F16C9C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В соответствии с условиями, корректировка ставки будет производиться ежемесячно в дату выплаты процентов по Халве (дату, соответствующую дате открытия счёта).</w:t>
      </w:r>
    </w:p>
    <w:p w:rsidR="00F16C9C" w:rsidRDefault="00F16C9C"/>
    <w:p w:rsidR="00A96BE6" w:rsidRPr="00A96BE6" w:rsidRDefault="00A96BE6" w:rsidP="00A96BE6">
      <w:r w:rsidRPr="00A96BE6">
        <w:t>Как получить повышенный доход по вкладам?</w:t>
      </w:r>
    </w:p>
    <w:p w:rsidR="00A96BE6" w:rsidRPr="00A96BE6" w:rsidRDefault="00A96BE6" w:rsidP="00A96BE6">
      <w:r w:rsidRPr="00A96BE6">
        <w:t>Ставка повышается на 1% по вкладам открытым в отделениях банка и в интернет банке:</w:t>
      </w:r>
    </w:p>
    <w:p w:rsidR="00A96BE6" w:rsidRPr="00A96BE6" w:rsidRDefault="00A96BE6" w:rsidP="00A96BE6">
      <w:r w:rsidRPr="00A96BE6">
        <w:t>В офисах:</w:t>
      </w:r>
    </w:p>
    <w:p w:rsidR="00A96BE6" w:rsidRPr="00A96BE6" w:rsidRDefault="00A96BE6" w:rsidP="00A96BE6">
      <w:r w:rsidRPr="00A96BE6">
        <w:t>«Максимальный доход»</w:t>
      </w:r>
    </w:p>
    <w:p w:rsidR="00A96BE6" w:rsidRPr="00A96BE6" w:rsidRDefault="00A96BE6" w:rsidP="00A96BE6">
      <w:r w:rsidRPr="00A96BE6">
        <w:t>«Постоянный доход»</w:t>
      </w:r>
    </w:p>
    <w:p w:rsidR="00A96BE6" w:rsidRPr="00A96BE6" w:rsidRDefault="00A96BE6" w:rsidP="00A96BE6">
      <w:r w:rsidRPr="00A96BE6">
        <w:t>«Проценты на проценты»</w:t>
      </w:r>
    </w:p>
    <w:p w:rsidR="00A96BE6" w:rsidRPr="00A96BE6" w:rsidRDefault="00A96BE6" w:rsidP="00A96BE6">
      <w:r w:rsidRPr="00A96BE6">
        <w:t>«Всегда под рукой» после пролонгации</w:t>
      </w:r>
    </w:p>
    <w:p w:rsidR="00A96BE6" w:rsidRPr="00A96BE6" w:rsidRDefault="00A96BE6" w:rsidP="00A96BE6">
      <w:r w:rsidRPr="00A96BE6">
        <w:t xml:space="preserve">Максимальный доход - </w:t>
      </w:r>
      <w:proofErr w:type="spellStart"/>
      <w:r w:rsidRPr="00A96BE6">
        <w:t>Акционный</w:t>
      </w:r>
      <w:proofErr w:type="spellEnd"/>
      <w:r w:rsidRPr="00A96BE6">
        <w:t xml:space="preserve"> (для офисов г. Санкт-Петербурга и ДВД)</w:t>
      </w:r>
    </w:p>
    <w:p w:rsidR="00A96BE6" w:rsidRPr="00A96BE6" w:rsidRDefault="00A96BE6" w:rsidP="00A96BE6">
      <w:r w:rsidRPr="00A96BE6">
        <w:t>«Рекордный процент»</w:t>
      </w:r>
    </w:p>
    <w:p w:rsidR="00A96BE6" w:rsidRPr="00A96BE6" w:rsidRDefault="00A96BE6" w:rsidP="00A96BE6">
      <w:r w:rsidRPr="00A96BE6">
        <w:t>«Удобный»</w:t>
      </w:r>
    </w:p>
    <w:p w:rsidR="00A96BE6" w:rsidRPr="00A96BE6" w:rsidRDefault="00A96BE6" w:rsidP="00A96BE6">
      <w:r w:rsidRPr="00A96BE6">
        <w:t>В Интернет Банке (для вкладов открытых с 19.10.2018):</w:t>
      </w:r>
    </w:p>
    <w:p w:rsidR="00A96BE6" w:rsidRPr="00A96BE6" w:rsidRDefault="00A96BE6" w:rsidP="00A96BE6">
      <w:r w:rsidRPr="00A96BE6">
        <w:t>«Максимальный доход»</w:t>
      </w:r>
    </w:p>
    <w:p w:rsidR="00A96BE6" w:rsidRPr="00A96BE6" w:rsidRDefault="00A96BE6" w:rsidP="00A96BE6">
      <w:r w:rsidRPr="00A96BE6">
        <w:t>«Постоянный доход»</w:t>
      </w:r>
    </w:p>
    <w:p w:rsidR="00A96BE6" w:rsidRPr="00A96BE6" w:rsidRDefault="00A96BE6" w:rsidP="00A96BE6">
      <w:r w:rsidRPr="00A96BE6">
        <w:lastRenderedPageBreak/>
        <w:t>«Проценты на проценты»</w:t>
      </w:r>
    </w:p>
    <w:p w:rsidR="00A96BE6" w:rsidRPr="00A96BE6" w:rsidRDefault="00A96BE6" w:rsidP="00A96BE6">
      <w:r w:rsidRPr="00A96BE6">
        <w:t>«Всегда под рукой» после пролонгации</w:t>
      </w:r>
    </w:p>
    <w:p w:rsidR="00A96BE6" w:rsidRPr="00A96BE6" w:rsidRDefault="00A96BE6" w:rsidP="00A96BE6">
      <w:r w:rsidRPr="00A96BE6">
        <w:t>«Рекордный процент»</w:t>
      </w:r>
    </w:p>
    <w:p w:rsidR="00A96BE6" w:rsidRPr="00A96BE6" w:rsidRDefault="00A96BE6" w:rsidP="00A96BE6">
      <w:r w:rsidRPr="00A96BE6">
        <w:t>«Удобный»</w:t>
      </w:r>
    </w:p>
    <w:p w:rsidR="00A96BE6" w:rsidRPr="00A96BE6" w:rsidRDefault="00A96BE6" w:rsidP="00A96BE6">
      <w:r w:rsidRPr="00A96BE6">
        <w:t>Дата открытия/пролонгации</w:t>
      </w:r>
    </w:p>
    <w:p w:rsidR="00A96BE6" w:rsidRPr="00A96BE6" w:rsidRDefault="00A96BE6" w:rsidP="00A96BE6">
      <w:r w:rsidRPr="00A96BE6">
        <w:t>вклада</w:t>
      </w:r>
    </w:p>
    <w:p w:rsidR="00A96BE6" w:rsidRPr="00A96BE6" w:rsidRDefault="00A96BE6" w:rsidP="00A96BE6">
      <w:r w:rsidRPr="00A96BE6">
        <w:t xml:space="preserve">В конце срока вклада </w:t>
      </w:r>
    </w:p>
    <w:p w:rsidR="00A96BE6" w:rsidRPr="00A96BE6" w:rsidRDefault="00A96BE6" w:rsidP="00A96BE6">
      <w:r w:rsidRPr="00A96BE6">
        <w:t>процентная ставка увеличится</w:t>
      </w:r>
    </w:p>
    <w:p w:rsidR="00A96BE6" w:rsidRPr="00A96BE6" w:rsidRDefault="00A96BE6" w:rsidP="00A96BE6">
      <w:r w:rsidRPr="00A96BE6">
        <w:t>Условия</w:t>
      </w:r>
    </w:p>
    <w:p w:rsidR="00A96BE6" w:rsidRPr="00A96BE6" w:rsidRDefault="00A96BE6" w:rsidP="00A96BE6">
      <w:r w:rsidRPr="00A96BE6">
        <w:t>С 25.06.2018</w:t>
      </w:r>
    </w:p>
    <w:p w:rsidR="00A96BE6" w:rsidRPr="00A96BE6" w:rsidRDefault="00A96BE6" w:rsidP="00A96BE6">
      <w:r w:rsidRPr="00A96BE6">
        <w:t>на 1 % годовых</w:t>
      </w:r>
    </w:p>
    <w:p w:rsidR="00A96BE6" w:rsidRPr="00A96BE6" w:rsidRDefault="00A96BE6" w:rsidP="00A96BE6">
      <w:r w:rsidRPr="00A96BE6">
        <w:t>При условии не менее 5 безналичных расчетов по карте Халва (и по дебетовой карте Халва) в ТСП (в том числе и не входящих в список партнёров), в каждом отчетном периоде действия вклада, в сумме 10 000 рублей за счет собственных или заемных средств, а также при отсутствии просроченной задолженности.</w:t>
      </w:r>
    </w:p>
    <w:p w:rsidR="00A96BE6" w:rsidRPr="00A96BE6" w:rsidRDefault="00A96BE6" w:rsidP="00A96BE6">
      <w:r w:rsidRPr="00A96BE6">
        <w:t>С 6.04.2018 по 25.06.2018</w:t>
      </w:r>
    </w:p>
    <w:p w:rsidR="00A96BE6" w:rsidRPr="00A96BE6" w:rsidRDefault="00A96BE6" w:rsidP="00A96BE6">
      <w:r w:rsidRPr="00A96BE6">
        <w:t>на 1 % годовых</w:t>
      </w:r>
    </w:p>
    <w:p w:rsidR="00A96BE6" w:rsidRPr="00A96BE6" w:rsidRDefault="00A96BE6" w:rsidP="00A96BE6">
      <w:r w:rsidRPr="00A96BE6">
        <w:t>При условии безналичных расчетов по карте Халва (так же и по дебетовой карте Халва)</w:t>
      </w:r>
    </w:p>
    <w:p w:rsidR="00A96BE6" w:rsidRPr="00A96BE6" w:rsidRDefault="00A96BE6" w:rsidP="00A96BE6">
      <w:r w:rsidRPr="00A96BE6">
        <w:t>в магазинах-партнерах, в каждом отчетном периоде действия вклада, в сумме</w:t>
      </w:r>
    </w:p>
    <w:p w:rsidR="00A96BE6" w:rsidRPr="00A96BE6" w:rsidRDefault="00A96BE6" w:rsidP="00A96BE6">
      <w:r w:rsidRPr="00A96BE6">
        <w:t>не менее 5000 рублей за счет заемных средств или 10 000 рублей за счет собственных средств.</w:t>
      </w:r>
    </w:p>
    <w:p w:rsidR="00A96BE6" w:rsidRPr="00A96BE6" w:rsidRDefault="00A96BE6" w:rsidP="00A96BE6">
      <w:r w:rsidRPr="00A96BE6">
        <w:t>До 6.04.2018</w:t>
      </w:r>
    </w:p>
    <w:p w:rsidR="00A96BE6" w:rsidRPr="00A96BE6" w:rsidRDefault="00A96BE6" w:rsidP="00A96BE6">
      <w:r w:rsidRPr="00A96BE6">
        <w:t>на 0,5 % годовых</w:t>
      </w:r>
    </w:p>
    <w:p w:rsidR="00A96BE6" w:rsidRPr="00A96BE6" w:rsidRDefault="00A96BE6" w:rsidP="00A96BE6">
      <w:r w:rsidRPr="00A96BE6">
        <w:t>При условии безналичных расчетов по карте Халва (так же и по дебетовой карте Халва)</w:t>
      </w:r>
    </w:p>
    <w:p w:rsidR="00A96BE6" w:rsidRPr="00A96BE6" w:rsidRDefault="00A96BE6" w:rsidP="00A96BE6">
      <w:r w:rsidRPr="00A96BE6">
        <w:t>в магазинах-партнерах, в каждом отчетном периоде действия вклада, в сумме</w:t>
      </w:r>
    </w:p>
    <w:p w:rsidR="00F16C9C" w:rsidRDefault="00A96BE6" w:rsidP="00A96BE6">
      <w:r w:rsidRPr="00A96BE6">
        <w:t>не менее 5000 рублей.</w:t>
      </w:r>
      <w:bookmarkStart w:id="0" w:name="_GoBack"/>
      <w:bookmarkEnd w:id="0"/>
    </w:p>
    <w:p w:rsidR="00F16C9C" w:rsidRDefault="00F16C9C"/>
    <w:sectPr w:rsidR="00F1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718"/>
    <w:multiLevelType w:val="multilevel"/>
    <w:tmpl w:val="C59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B5072"/>
    <w:multiLevelType w:val="multilevel"/>
    <w:tmpl w:val="D17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E0"/>
    <w:rsid w:val="00035444"/>
    <w:rsid w:val="004611E0"/>
    <w:rsid w:val="00A96BE6"/>
    <w:rsid w:val="00D43ED3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Виктор Федорович</dc:creator>
  <cp:keywords/>
  <dc:description/>
  <cp:lastModifiedBy>Гордиенко Виктор Федорович</cp:lastModifiedBy>
  <cp:revision>3</cp:revision>
  <dcterms:created xsi:type="dcterms:W3CDTF">2019-01-25T08:45:00Z</dcterms:created>
  <dcterms:modified xsi:type="dcterms:W3CDTF">2019-01-25T13:32:00Z</dcterms:modified>
</cp:coreProperties>
</file>