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F" w:rsidRDefault="008B4A5F" w:rsidP="008B4A5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ПЕРЕЧЕНЬ ОБРАЗОВАТЕЛЬНЫХ МЕРОПРИЯТИЙ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141"/>
        <w:gridCol w:w="1502"/>
      </w:tblGrid>
      <w:tr w:rsidR="008B4A5F" w:rsidTr="008B4A5F">
        <w:tc>
          <w:tcPr>
            <w:tcW w:w="675" w:type="dxa"/>
          </w:tcPr>
          <w:p w:rsidR="008B4A5F" w:rsidRDefault="008B4A5F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B4A5F" w:rsidRDefault="008B4A5F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Наименование </w:t>
            </w:r>
          </w:p>
          <w:p w:rsidR="004B4A16" w:rsidRDefault="004B4A16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A5F" w:rsidRDefault="008B4A5F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Формат </w:t>
            </w:r>
          </w:p>
        </w:tc>
        <w:tc>
          <w:tcPr>
            <w:tcW w:w="1643" w:type="dxa"/>
            <w:gridSpan w:val="2"/>
          </w:tcPr>
          <w:p w:rsidR="008B4A5F" w:rsidRDefault="008B4A5F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Объём,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ак.ч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8B4A5F" w:rsidTr="00D7467C">
        <w:tc>
          <w:tcPr>
            <w:tcW w:w="10682" w:type="dxa"/>
            <w:gridSpan w:val="5"/>
            <w:shd w:val="clear" w:color="auto" w:fill="D9D9D9" w:themeFill="background1" w:themeFillShade="D9"/>
          </w:tcPr>
          <w:p w:rsidR="004B4A16" w:rsidRPr="004B4A16" w:rsidRDefault="004B4A16" w:rsidP="008B4A5F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8B4A5F" w:rsidRDefault="008B4A5F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Деловые игры</w:t>
            </w:r>
          </w:p>
          <w:p w:rsidR="004B4A16" w:rsidRPr="004B4A16" w:rsidRDefault="004B4A16" w:rsidP="008B4A5F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8B4A5F" w:rsidRPr="008B4A5F" w:rsidTr="008B4A5F">
        <w:tc>
          <w:tcPr>
            <w:tcW w:w="675" w:type="dxa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B4A5F" w:rsidRPr="008B4A5F" w:rsidRDefault="008B4A5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4A5F">
              <w:rPr>
                <w:rFonts w:asciiTheme="majorHAnsi" w:hAnsiTheme="majorHAnsi"/>
                <w:b/>
                <w:sz w:val="24"/>
                <w:szCs w:val="24"/>
              </w:rPr>
              <w:t>«Сказка ложь, да в ней намёк»: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>отработка форматов принятия решений, умения использовать ресурсы для развития организаци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 xml:space="preserve">, формирование установки на 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>чёт рисков и командный отбор оптимальных способов достижения целей, стимулирование инициативы и креативности в условиях неполноты информации.</w:t>
            </w:r>
          </w:p>
        </w:tc>
        <w:tc>
          <w:tcPr>
            <w:tcW w:w="2410" w:type="dxa"/>
          </w:tcPr>
          <w:p w:rsidR="008B4A5F" w:rsidRPr="008B4A5F" w:rsidRDefault="008B4A5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командная игра, команда 6-15 чел, кол-во команд 1-5</w:t>
            </w:r>
          </w:p>
        </w:tc>
        <w:tc>
          <w:tcPr>
            <w:tcW w:w="1643" w:type="dxa"/>
            <w:gridSpan w:val="2"/>
          </w:tcPr>
          <w:p w:rsidR="008B4A5F" w:rsidRPr="008B4A5F" w:rsidRDefault="008B4A5F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2-3</w:t>
            </w:r>
          </w:p>
        </w:tc>
      </w:tr>
      <w:tr w:rsidR="008B4A5F" w:rsidRPr="008B4A5F" w:rsidTr="008B4A5F">
        <w:tc>
          <w:tcPr>
            <w:tcW w:w="675" w:type="dxa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B4A5F" w:rsidRPr="008B4A5F" w:rsidRDefault="008B4A5F" w:rsidP="00DE26B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4A5F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="00DE26BF">
              <w:rPr>
                <w:rFonts w:asciiTheme="majorHAnsi" w:hAnsiTheme="majorHAnsi"/>
                <w:b/>
                <w:sz w:val="24"/>
                <w:szCs w:val="24"/>
              </w:rPr>
              <w:t>Корпоративный</w:t>
            </w:r>
            <w:r w:rsidRPr="008B4A5F">
              <w:rPr>
                <w:rFonts w:asciiTheme="majorHAnsi" w:hAnsiTheme="majorHAnsi"/>
                <w:b/>
                <w:sz w:val="24"/>
                <w:szCs w:val="24"/>
              </w:rPr>
              <w:t xml:space="preserve"> спецназ»: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>иск нестандартны</w:t>
            </w:r>
            <w:r>
              <w:rPr>
                <w:rFonts w:asciiTheme="majorHAnsi" w:hAnsiTheme="majorHAnsi"/>
                <w:sz w:val="24"/>
                <w:szCs w:val="24"/>
              </w:rPr>
              <w:t>х подходов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 xml:space="preserve"> к решению возникающих задач, просч</w:t>
            </w:r>
            <w:r>
              <w:rPr>
                <w:rFonts w:asciiTheme="majorHAnsi" w:hAnsiTheme="majorHAnsi"/>
                <w:sz w:val="24"/>
                <w:szCs w:val="24"/>
              </w:rPr>
              <w:t>ёт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 xml:space="preserve"> последстви</w:t>
            </w:r>
            <w:r>
              <w:rPr>
                <w:rFonts w:asciiTheme="majorHAnsi" w:hAnsiTheme="majorHAnsi"/>
                <w:sz w:val="24"/>
                <w:szCs w:val="24"/>
              </w:rPr>
              <w:t>й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 xml:space="preserve"> принятых решений, проя</w:t>
            </w:r>
            <w:r>
              <w:rPr>
                <w:rFonts w:asciiTheme="majorHAnsi" w:hAnsiTheme="majorHAnsi"/>
                <w:sz w:val="24"/>
                <w:szCs w:val="24"/>
              </w:rPr>
              <w:t>вление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 xml:space="preserve"> инициатив</w:t>
            </w:r>
            <w:r>
              <w:rPr>
                <w:rFonts w:asciiTheme="majorHAnsi" w:hAnsiTheme="majorHAnsi"/>
                <w:sz w:val="24"/>
                <w:szCs w:val="24"/>
              </w:rPr>
              <w:t>ы, пр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>ин</w:t>
            </w:r>
            <w:r>
              <w:rPr>
                <w:rFonts w:asciiTheme="majorHAnsi" w:hAnsiTheme="majorHAnsi"/>
                <w:sz w:val="24"/>
                <w:szCs w:val="24"/>
              </w:rPr>
              <w:t>ятие ответственности (разбор ситуаций «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зависит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/не зависит от меня/нас»), превращение проблем в возможности и риски обратного развёртывания событий</w:t>
            </w:r>
          </w:p>
        </w:tc>
        <w:tc>
          <w:tcPr>
            <w:tcW w:w="2410" w:type="dxa"/>
          </w:tcPr>
          <w:p w:rsidR="008B4A5F" w:rsidRPr="008B4A5F" w:rsidRDefault="008B4A5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4A5F">
              <w:rPr>
                <w:rFonts w:asciiTheme="majorHAnsi" w:hAnsiTheme="majorHAnsi"/>
                <w:sz w:val="24"/>
                <w:szCs w:val="24"/>
              </w:rPr>
              <w:t xml:space="preserve">командная игра, команда </w:t>
            </w:r>
            <w:r>
              <w:rPr>
                <w:rFonts w:asciiTheme="majorHAnsi" w:hAnsiTheme="majorHAnsi"/>
                <w:sz w:val="24"/>
                <w:szCs w:val="24"/>
              </w:rPr>
              <w:t>3-6</w:t>
            </w:r>
            <w:r w:rsidRPr="008B4A5F">
              <w:rPr>
                <w:rFonts w:asciiTheme="majorHAnsi" w:hAnsiTheme="majorHAnsi"/>
                <w:sz w:val="24"/>
                <w:szCs w:val="24"/>
              </w:rPr>
              <w:t xml:space="preserve"> чел, кол-во команд 1-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2"/>
          </w:tcPr>
          <w:p w:rsidR="008B4A5F" w:rsidRPr="008B4A5F" w:rsidRDefault="008B4A5F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3-4</w:t>
            </w:r>
          </w:p>
        </w:tc>
      </w:tr>
      <w:tr w:rsidR="008B4A5F" w:rsidRPr="008B4A5F" w:rsidTr="008B4A5F">
        <w:tc>
          <w:tcPr>
            <w:tcW w:w="675" w:type="dxa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4A5F" w:rsidRDefault="008B4A5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«Круиз мечты»: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командное взаимодействие, распределение ролей в команде, использование сильных сторон каждого члена команды, осознание выгод эффективного командного взаимодействия, отказ от стратегии «одеяло на себя» </w:t>
            </w:r>
          </w:p>
          <w:p w:rsidR="004C1B3E" w:rsidRPr="008B4A5F" w:rsidRDefault="004C1B3E" w:rsidP="004C1B3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1B3E">
              <w:rPr>
                <w:rFonts w:asciiTheme="majorHAnsi" w:hAnsiTheme="majorHAnsi"/>
                <w:sz w:val="24"/>
                <w:szCs w:val="24"/>
              </w:rPr>
              <w:t>Игра предоставляет участникам возможность в активной форме отследить все этапы формирования команды, источники и механизмы формирования лидерства, осознать личностные качества и механизмы взаимодействия, обеспечивающие или сдерживающие эффективность командной деятельности, убедиться в значимости потенциальных возможностей, интеллектуальных и творческих способностей каждого.</w:t>
            </w:r>
          </w:p>
        </w:tc>
        <w:tc>
          <w:tcPr>
            <w:tcW w:w="2410" w:type="dxa"/>
          </w:tcPr>
          <w:p w:rsidR="008B4A5F" w:rsidRPr="008B4A5F" w:rsidRDefault="008B4A5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командная игра, команда 5-20 человек, кол-во команд 2</w:t>
            </w:r>
          </w:p>
        </w:tc>
        <w:tc>
          <w:tcPr>
            <w:tcW w:w="1643" w:type="dxa"/>
            <w:gridSpan w:val="2"/>
          </w:tcPr>
          <w:p w:rsidR="008B4A5F" w:rsidRDefault="004C1B3E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</w:t>
            </w:r>
          </w:p>
        </w:tc>
      </w:tr>
      <w:tr w:rsidR="008B4A5F" w:rsidRPr="008B4A5F" w:rsidTr="008B4A5F">
        <w:tc>
          <w:tcPr>
            <w:tcW w:w="675" w:type="dxa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B4A5F" w:rsidRPr="008B4A5F" w:rsidRDefault="008B4A5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«Зомби-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лэнд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»: </w:t>
            </w:r>
            <w:r w:rsidR="00D7467C">
              <w:rPr>
                <w:rFonts w:asciiTheme="majorHAnsi" w:hAnsiTheme="majorHAnsi"/>
                <w:sz w:val="24"/>
                <w:szCs w:val="24"/>
              </w:rPr>
              <w:t xml:space="preserve">командное взаимодействие в ситуациях интеллектуального, эмоционального, </w:t>
            </w:r>
            <w:r w:rsidR="00C02645">
              <w:rPr>
                <w:rFonts w:asciiTheme="majorHAnsi" w:hAnsiTheme="majorHAnsi"/>
                <w:sz w:val="24"/>
                <w:szCs w:val="24"/>
              </w:rPr>
              <w:t>творческого, физического вызова</w:t>
            </w:r>
            <w:r w:rsidR="00D74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A5F" w:rsidRDefault="00C02645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командная игра, команда 4-7 чел, кол-во команд 2-4</w:t>
            </w:r>
          </w:p>
        </w:tc>
        <w:tc>
          <w:tcPr>
            <w:tcW w:w="1643" w:type="dxa"/>
            <w:gridSpan w:val="2"/>
          </w:tcPr>
          <w:p w:rsidR="008B4A5F" w:rsidRDefault="00C02645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3-4</w:t>
            </w:r>
          </w:p>
        </w:tc>
      </w:tr>
      <w:tr w:rsidR="008B4A5F" w:rsidRPr="008B4A5F" w:rsidTr="008B4A5F">
        <w:tc>
          <w:tcPr>
            <w:tcW w:w="675" w:type="dxa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B4A5F" w:rsidRPr="008B4A5F" w:rsidRDefault="008B4A5F" w:rsidP="00D7467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4A5F">
              <w:rPr>
                <w:rFonts w:asciiTheme="majorHAnsi" w:hAnsiTheme="majorHAnsi"/>
                <w:b/>
                <w:sz w:val="24"/>
                <w:szCs w:val="24"/>
              </w:rPr>
              <w:t>«Карьерный Олимп»: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диагностика карьерных установок, формирование </w:t>
            </w:r>
            <w:r w:rsidR="00D7467C">
              <w:rPr>
                <w:rFonts w:asciiTheme="majorHAnsi" w:hAnsiTheme="majorHAnsi"/>
                <w:sz w:val="24"/>
                <w:szCs w:val="24"/>
              </w:rPr>
              <w:t xml:space="preserve">эффективных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стратегий построения карьеры </w:t>
            </w:r>
            <w:r w:rsidR="00D7467C">
              <w:rPr>
                <w:rFonts w:asciiTheme="majorHAnsi" w:hAnsiTheme="majorHAnsi"/>
                <w:sz w:val="24"/>
                <w:szCs w:val="24"/>
              </w:rPr>
              <w:t xml:space="preserve">по </w:t>
            </w:r>
            <w:r>
              <w:rPr>
                <w:rFonts w:asciiTheme="majorHAnsi" w:hAnsiTheme="majorHAnsi"/>
                <w:sz w:val="24"/>
                <w:szCs w:val="24"/>
              </w:rPr>
              <w:t>вертикал</w:t>
            </w:r>
            <w:r w:rsidR="00D7467C">
              <w:rPr>
                <w:rFonts w:asciiTheme="majorHAnsi" w:hAnsiTheme="majorHAnsi"/>
                <w:sz w:val="24"/>
                <w:szCs w:val="24"/>
              </w:rPr>
              <w:t xml:space="preserve">и и </w:t>
            </w:r>
            <w:r>
              <w:rPr>
                <w:rFonts w:asciiTheme="majorHAnsi" w:hAnsiTheme="majorHAnsi"/>
                <w:sz w:val="24"/>
                <w:szCs w:val="24"/>
              </w:rPr>
              <w:t>горизонтал</w:t>
            </w:r>
            <w:r w:rsidR="00D7467C">
              <w:rPr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Fonts w:asciiTheme="majorHAnsi" w:hAnsiTheme="majorHAnsi"/>
                <w:sz w:val="24"/>
                <w:szCs w:val="24"/>
              </w:rPr>
              <w:t>, встраивание карьерных устремлений в другие ценностные ориентации (семья, здоровье, дружба…)</w:t>
            </w:r>
          </w:p>
        </w:tc>
        <w:tc>
          <w:tcPr>
            <w:tcW w:w="2410" w:type="dxa"/>
          </w:tcPr>
          <w:p w:rsidR="008B4A5F" w:rsidRPr="008B4A5F" w:rsidRDefault="00DE26BF" w:rsidP="00DE26B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командная или индивидуальная игра на выявление карьерных стереотипов, рефлексию, построение карьерного плана</w:t>
            </w:r>
          </w:p>
        </w:tc>
        <w:tc>
          <w:tcPr>
            <w:tcW w:w="1643" w:type="dxa"/>
            <w:gridSpan w:val="2"/>
          </w:tcPr>
          <w:p w:rsidR="008B4A5F" w:rsidRPr="008B4A5F" w:rsidRDefault="008B4A5F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DE26BF">
              <w:rPr>
                <w:rFonts w:asciiTheme="majorHAnsi" w:hAnsiTheme="majorHAnsi"/>
                <w:sz w:val="24"/>
                <w:szCs w:val="24"/>
              </w:rPr>
              <w:t>-5</w:t>
            </w:r>
          </w:p>
        </w:tc>
      </w:tr>
      <w:tr w:rsidR="00D7467C" w:rsidRPr="008B4A5F" w:rsidTr="00D7467C">
        <w:tc>
          <w:tcPr>
            <w:tcW w:w="10682" w:type="dxa"/>
            <w:gridSpan w:val="5"/>
            <w:shd w:val="clear" w:color="auto" w:fill="D9D9D9" w:themeFill="background1" w:themeFillShade="D9"/>
          </w:tcPr>
          <w:p w:rsidR="004B4A16" w:rsidRPr="004B4A16" w:rsidRDefault="004B4A16" w:rsidP="008B4A5F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D7467C" w:rsidRDefault="00D7467C" w:rsidP="008B4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Семинары-практикумы, практикумы</w:t>
            </w:r>
          </w:p>
          <w:p w:rsidR="004B4A16" w:rsidRPr="004B4A16" w:rsidRDefault="004B4A16" w:rsidP="008B4A5F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8B4A5F" w:rsidRPr="008B4A5F" w:rsidTr="006C21B3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>Делегирование</w:t>
            </w:r>
            <w:r>
              <w:rPr>
                <w:rFonts w:asciiTheme="majorHAnsi" w:hAnsiTheme="majorHAnsi"/>
                <w:sz w:val="24"/>
                <w:szCs w:val="24"/>
              </w:rPr>
              <w:t>: задачи, приёмы, техники передачи полномочий, риски при делегировании</w:t>
            </w:r>
            <w:r w:rsidR="004C1B3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C1B3E" w:rsidRPr="008B4A5F" w:rsidRDefault="004C1B3E" w:rsidP="004C1B3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4C1B3E">
              <w:rPr>
                <w:rFonts w:asciiTheme="majorHAnsi" w:hAnsiTheme="majorHAnsi"/>
                <w:sz w:val="24"/>
                <w:szCs w:val="24"/>
              </w:rPr>
              <w:t>ормирование навыков, необходимых профсоюзному лидеру для целенаправленного повышения доверия работников к деятельности ППО, вовлечения членов профсоюза в активную профсоюзную деятельность, грамотное распределение ролей и создание команды единомышленников, эффективно решающей стратегические и текущие вопросы профсоюзной работы.</w:t>
            </w:r>
          </w:p>
        </w:tc>
        <w:tc>
          <w:tcPr>
            <w:tcW w:w="2551" w:type="dxa"/>
            <w:gridSpan w:val="2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практикум</w:t>
            </w:r>
          </w:p>
        </w:tc>
        <w:tc>
          <w:tcPr>
            <w:tcW w:w="1502" w:type="dxa"/>
          </w:tcPr>
          <w:p w:rsidR="008B4A5F" w:rsidRPr="008B4A5F" w:rsidRDefault="004C1B3E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</w:t>
            </w:r>
            <w:r w:rsidR="00D7467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8B4A5F" w:rsidRPr="008B4A5F" w:rsidTr="006C21B3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B4A5F" w:rsidRPr="008B4A5F" w:rsidRDefault="00DE26BF" w:rsidP="00DE26B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Л</w:t>
            </w:r>
            <w:r w:rsidR="00D7467C" w:rsidRPr="00C02645">
              <w:rPr>
                <w:rFonts w:asciiTheme="majorHAnsi" w:hAnsiTheme="majorHAnsi"/>
                <w:b/>
                <w:sz w:val="24"/>
                <w:szCs w:val="24"/>
              </w:rPr>
              <w:t>идер</w:t>
            </w:r>
            <w:r w:rsidR="00D746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4A16">
              <w:rPr>
                <w:rFonts w:asciiTheme="majorHAnsi" w:hAnsiTheme="majorHAnsi"/>
                <w:sz w:val="24"/>
                <w:szCs w:val="24"/>
              </w:rPr>
              <w:t>в системе социального управления</w:t>
            </w:r>
          </w:p>
        </w:tc>
        <w:tc>
          <w:tcPr>
            <w:tcW w:w="2551" w:type="dxa"/>
            <w:gridSpan w:val="2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502" w:type="dxa"/>
          </w:tcPr>
          <w:p w:rsidR="008B4A5F" w:rsidRPr="008B4A5F" w:rsidRDefault="00D7467C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8B4A5F" w:rsidRPr="008B4A5F" w:rsidTr="006C21B3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4A5F" w:rsidRPr="00C02645" w:rsidRDefault="00D7467C" w:rsidP="008B4A5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>Тайм-менеджмент</w:t>
            </w:r>
          </w:p>
          <w:p w:rsidR="004B4A16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практикум</w:t>
            </w:r>
          </w:p>
        </w:tc>
        <w:tc>
          <w:tcPr>
            <w:tcW w:w="1502" w:type="dxa"/>
          </w:tcPr>
          <w:p w:rsidR="008B4A5F" w:rsidRPr="008B4A5F" w:rsidRDefault="00D7467C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</w:t>
            </w:r>
          </w:p>
        </w:tc>
      </w:tr>
      <w:tr w:rsidR="008B4A5F" w:rsidRPr="008B4A5F" w:rsidTr="006C21B3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>Техника установления доверительных взаимоотношений.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Бонусы доверия</w:t>
            </w:r>
          </w:p>
        </w:tc>
        <w:tc>
          <w:tcPr>
            <w:tcW w:w="2551" w:type="dxa"/>
            <w:gridSpan w:val="2"/>
          </w:tcPr>
          <w:p w:rsidR="008B4A5F" w:rsidRPr="008B4A5F" w:rsidRDefault="00D7467C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502" w:type="dxa"/>
          </w:tcPr>
          <w:p w:rsidR="008B4A5F" w:rsidRPr="008B4A5F" w:rsidRDefault="00D7467C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8B4A5F" w:rsidRPr="008B4A5F" w:rsidTr="006C21B3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B4A5F" w:rsidRPr="00C02645" w:rsidRDefault="00D7467C" w:rsidP="008B4A5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 xml:space="preserve">Технология принятия управленческих решений </w:t>
            </w:r>
          </w:p>
          <w:p w:rsidR="004B4A16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4A16">
              <w:rPr>
                <w:rFonts w:asciiTheme="majorHAnsi" w:hAnsiTheme="majorHAnsi"/>
                <w:sz w:val="24"/>
                <w:szCs w:val="24"/>
              </w:rPr>
              <w:t>семинар-практикум</w:t>
            </w:r>
          </w:p>
        </w:tc>
        <w:tc>
          <w:tcPr>
            <w:tcW w:w="1502" w:type="dxa"/>
          </w:tcPr>
          <w:p w:rsidR="008B4A5F" w:rsidRPr="008B4A5F" w:rsidRDefault="00D7467C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4B4A16" w:rsidRPr="008B4A5F" w:rsidTr="006C21B3">
        <w:tc>
          <w:tcPr>
            <w:tcW w:w="675" w:type="dxa"/>
          </w:tcPr>
          <w:p w:rsidR="004B4A16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B4A16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>Комплимент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как инструмент взаимодействия в деловой сфере, как средство развития персонала</w:t>
            </w:r>
          </w:p>
        </w:tc>
        <w:tc>
          <w:tcPr>
            <w:tcW w:w="2551" w:type="dxa"/>
            <w:gridSpan w:val="2"/>
          </w:tcPr>
          <w:p w:rsidR="004B4A16" w:rsidRPr="004B4A16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практикум </w:t>
            </w:r>
          </w:p>
        </w:tc>
        <w:tc>
          <w:tcPr>
            <w:tcW w:w="1502" w:type="dxa"/>
          </w:tcPr>
          <w:p w:rsidR="004B4A16" w:rsidRDefault="00AE56DF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</w:t>
            </w:r>
            <w:r w:rsidR="004B4A1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AA5EC6" w:rsidRPr="008B4A5F" w:rsidTr="006C21B3">
        <w:tc>
          <w:tcPr>
            <w:tcW w:w="675" w:type="dxa"/>
          </w:tcPr>
          <w:p w:rsidR="00AA5EC6" w:rsidRDefault="00AA5EC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A5EC6" w:rsidRPr="00C02645" w:rsidRDefault="00AA5EC6" w:rsidP="00AA423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Стресс-менеджмент</w:t>
            </w:r>
            <w:r w:rsidR="00D4064D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D4064D" w:rsidRPr="00D40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40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D4064D" w:rsidRPr="00D40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сновы регуляции эмоционального состояния, предупреждение</w:t>
            </w:r>
            <w:r w:rsidR="00AA4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способы сбрасывания</w:t>
            </w:r>
            <w:r w:rsidR="00D4064D" w:rsidRPr="00D40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эмоциона</w:t>
            </w:r>
            <w:r w:rsidR="00AA4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="005E5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ьного и стрессового напряжения.</w:t>
            </w:r>
          </w:p>
        </w:tc>
        <w:tc>
          <w:tcPr>
            <w:tcW w:w="2551" w:type="dxa"/>
            <w:gridSpan w:val="2"/>
          </w:tcPr>
          <w:p w:rsidR="00AA5EC6" w:rsidRDefault="00AA5EC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Практикум</w:t>
            </w:r>
          </w:p>
        </w:tc>
        <w:tc>
          <w:tcPr>
            <w:tcW w:w="1502" w:type="dxa"/>
          </w:tcPr>
          <w:p w:rsidR="00AA5EC6" w:rsidRDefault="00AA5EC6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2-4</w:t>
            </w:r>
          </w:p>
        </w:tc>
      </w:tr>
      <w:tr w:rsidR="00AA5EC6" w:rsidRPr="008B4A5F" w:rsidTr="006C21B3">
        <w:tc>
          <w:tcPr>
            <w:tcW w:w="675" w:type="dxa"/>
          </w:tcPr>
          <w:p w:rsidR="00AA5EC6" w:rsidRDefault="00AA5EC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A5EC6" w:rsidRPr="00AA5EC6" w:rsidRDefault="00AA5EC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Имидж профсоюзного лидера. </w:t>
            </w:r>
            <w:r>
              <w:rPr>
                <w:rFonts w:asciiTheme="majorHAnsi" w:hAnsiTheme="majorHAnsi"/>
                <w:sz w:val="24"/>
                <w:szCs w:val="24"/>
              </w:rPr>
              <w:t>Принципы построения делового имиджа</w:t>
            </w:r>
            <w:r w:rsidR="006C21B3">
              <w:rPr>
                <w:rFonts w:asciiTheme="majorHAnsi" w:hAnsiTheme="majorHAnsi"/>
                <w:sz w:val="24"/>
                <w:szCs w:val="24"/>
              </w:rPr>
              <w:t>. Внешние формы выражения делового имиджа. Поведенческие техники.</w:t>
            </w:r>
          </w:p>
        </w:tc>
        <w:tc>
          <w:tcPr>
            <w:tcW w:w="2551" w:type="dxa"/>
            <w:gridSpan w:val="2"/>
          </w:tcPr>
          <w:p w:rsidR="00AA5EC6" w:rsidRDefault="006C21B3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Семинар-практикум</w:t>
            </w:r>
          </w:p>
        </w:tc>
        <w:tc>
          <w:tcPr>
            <w:tcW w:w="1502" w:type="dxa"/>
          </w:tcPr>
          <w:p w:rsidR="00AA5EC6" w:rsidRDefault="006C21B3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</w:t>
            </w:r>
          </w:p>
        </w:tc>
      </w:tr>
      <w:tr w:rsidR="00AA5EC6" w:rsidRPr="008B4A5F" w:rsidTr="006C21B3">
        <w:tc>
          <w:tcPr>
            <w:tcW w:w="675" w:type="dxa"/>
          </w:tcPr>
          <w:p w:rsidR="00AA5EC6" w:rsidRDefault="006C21B3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A5EC6" w:rsidRPr="00C02645" w:rsidRDefault="006C21B3" w:rsidP="0097295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Организаци</w:t>
            </w:r>
            <w:r w:rsidR="0097295F">
              <w:rPr>
                <w:rFonts w:asciiTheme="majorHAnsi" w:hAnsiTheme="majorHAnsi"/>
                <w:b/>
                <w:sz w:val="24"/>
                <w:szCs w:val="24"/>
              </w:rPr>
              <w:t>онно</w:t>
            </w:r>
            <w:bookmarkStart w:id="0" w:name="_GoBack"/>
            <w:bookmarkEnd w:id="0"/>
            <w:r w:rsidR="00632468">
              <w:rPr>
                <w:rFonts w:asciiTheme="majorHAnsi" w:hAnsiTheme="majorHAnsi"/>
                <w:b/>
                <w:sz w:val="24"/>
                <w:szCs w:val="24"/>
              </w:rPr>
              <w:t xml:space="preserve">-массовая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работ</w:t>
            </w:r>
            <w:r w:rsidR="00632468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  <w:r w:rsidR="00632468" w:rsidRPr="007B6895">
              <w:rPr>
                <w:color w:val="000000"/>
                <w:sz w:val="28"/>
                <w:szCs w:val="28"/>
              </w:rPr>
              <w:t xml:space="preserve"> </w:t>
            </w:r>
            <w:r w:rsidR="0063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32468" w:rsidRPr="0063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труктура современного профсоюзного движения в России; правовые основы деятельности первичной проф. организации;</w:t>
            </w:r>
            <w:r w:rsidR="0063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2468" w:rsidRPr="0063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ко</w:t>
            </w:r>
            <w:r w:rsidR="00632468" w:rsidRPr="0063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миссии профкома; организац</w:t>
            </w:r>
            <w:r w:rsidR="0063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работы с профсоюзным активом.</w:t>
            </w:r>
          </w:p>
        </w:tc>
        <w:tc>
          <w:tcPr>
            <w:tcW w:w="2551" w:type="dxa"/>
            <w:gridSpan w:val="2"/>
          </w:tcPr>
          <w:p w:rsidR="00AA5EC6" w:rsidRDefault="006C21B3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Семинар-практикум</w:t>
            </w:r>
          </w:p>
        </w:tc>
        <w:tc>
          <w:tcPr>
            <w:tcW w:w="1502" w:type="dxa"/>
          </w:tcPr>
          <w:p w:rsidR="00AA5EC6" w:rsidRDefault="006C21B3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AF326F">
              <w:rPr>
                <w:rFonts w:asciiTheme="majorHAnsi" w:hAnsiTheme="majorHAnsi"/>
                <w:sz w:val="24"/>
                <w:szCs w:val="24"/>
              </w:rPr>
              <w:t>-6</w:t>
            </w:r>
          </w:p>
        </w:tc>
      </w:tr>
      <w:tr w:rsidR="006C21B3" w:rsidRPr="008B4A5F" w:rsidTr="006C21B3">
        <w:tc>
          <w:tcPr>
            <w:tcW w:w="675" w:type="dxa"/>
          </w:tcPr>
          <w:p w:rsidR="006C21B3" w:rsidRDefault="006C21B3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6C21B3" w:rsidRDefault="006C21B3" w:rsidP="00BA05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Основные направления работы профсоюзной организации в современных </w:t>
            </w:r>
            <w:r w:rsidRPr="00BA05F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r w:rsidR="00BA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5F4" w:rsidRPr="00BA05F4">
              <w:rPr>
                <w:rFonts w:ascii="Times New Roman" w:hAnsi="Times New Roman" w:cs="Times New Roman"/>
                <w:sz w:val="24"/>
                <w:szCs w:val="24"/>
              </w:rPr>
              <w:t>Профсоюзное движение на современном этапе, основные направления работы профсоюзного комитета, мотивация проф</w:t>
            </w:r>
            <w:r w:rsidR="002F01AE">
              <w:rPr>
                <w:rFonts w:ascii="Times New Roman" w:hAnsi="Times New Roman" w:cs="Times New Roman"/>
                <w:sz w:val="24"/>
                <w:szCs w:val="24"/>
              </w:rPr>
              <w:t xml:space="preserve">союзного </w:t>
            </w:r>
            <w:r w:rsidR="00BA05F4" w:rsidRPr="00BA05F4">
              <w:rPr>
                <w:rFonts w:ascii="Times New Roman" w:hAnsi="Times New Roman" w:cs="Times New Roman"/>
                <w:sz w:val="24"/>
                <w:szCs w:val="24"/>
              </w:rPr>
              <w:t>членства, профсоюзы как равноправный социальный партнер</w:t>
            </w:r>
            <w:r w:rsidR="00BA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6C21B3" w:rsidRDefault="006C21B3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Семинар-практикум</w:t>
            </w:r>
          </w:p>
        </w:tc>
        <w:tc>
          <w:tcPr>
            <w:tcW w:w="1502" w:type="dxa"/>
          </w:tcPr>
          <w:p w:rsidR="006C21B3" w:rsidRDefault="006C21B3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2-4</w:t>
            </w:r>
          </w:p>
        </w:tc>
      </w:tr>
      <w:tr w:rsidR="006C21B3" w:rsidRPr="008B4A5F" w:rsidTr="006C21B3">
        <w:tc>
          <w:tcPr>
            <w:tcW w:w="675" w:type="dxa"/>
          </w:tcPr>
          <w:p w:rsidR="006C21B3" w:rsidRDefault="006C21B3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6C21B3" w:rsidRDefault="002F01AE" w:rsidP="002F01A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Отчеты и выборы в  профсоюзной организации</w:t>
            </w:r>
          </w:p>
        </w:tc>
        <w:tc>
          <w:tcPr>
            <w:tcW w:w="2551" w:type="dxa"/>
            <w:gridSpan w:val="2"/>
          </w:tcPr>
          <w:p w:rsidR="006C21B3" w:rsidRDefault="002F01AE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Семинар-практикум</w:t>
            </w:r>
          </w:p>
        </w:tc>
        <w:tc>
          <w:tcPr>
            <w:tcW w:w="1502" w:type="dxa"/>
          </w:tcPr>
          <w:p w:rsidR="006C21B3" w:rsidRDefault="002F01AE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2-4</w:t>
            </w:r>
          </w:p>
        </w:tc>
      </w:tr>
      <w:tr w:rsidR="004B4A16" w:rsidRPr="008B4A5F" w:rsidTr="004B4A1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4B4A16" w:rsidRPr="00AE56DF" w:rsidRDefault="004B4A16" w:rsidP="004B4A1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B4A16" w:rsidRDefault="004B4A16" w:rsidP="004B4A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Тренинги </w:t>
            </w:r>
          </w:p>
          <w:p w:rsidR="004B4A16" w:rsidRPr="004B4A16" w:rsidRDefault="004B4A16" w:rsidP="004B4A16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8B4A5F" w:rsidRPr="008B4A5F" w:rsidTr="00F10C70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B4A5F" w:rsidRPr="008B4A5F" w:rsidRDefault="004B4A16" w:rsidP="000B4E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B4EFD">
              <w:rPr>
                <w:rFonts w:asciiTheme="majorHAnsi" w:hAnsiTheme="majorHAnsi"/>
                <w:b/>
                <w:sz w:val="24"/>
                <w:szCs w:val="24"/>
              </w:rPr>
              <w:t>Мастерство переговоров</w:t>
            </w:r>
            <w:r w:rsidR="000B4EFD" w:rsidRPr="000B4EF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параметр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ы оценки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эффективност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и переговорщика, формирование навыка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уточнения деталей в переговорах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 xml:space="preserve"> умение с помощью вопросов собрать скрытую информацию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, освоение 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стратегий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 добиваться уступки;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принцип</w:t>
            </w:r>
            <w:r w:rsidR="000B4EFD">
              <w:rPr>
                <w:rFonts w:asciiTheme="majorHAnsi" w:hAnsiTheme="majorHAnsi"/>
                <w:sz w:val="24"/>
                <w:szCs w:val="24"/>
              </w:rPr>
              <w:t>ы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lastRenderedPageBreak/>
              <w:t>перев</w:t>
            </w:r>
            <w:r w:rsidR="000B4EFD">
              <w:rPr>
                <w:rFonts w:asciiTheme="majorHAnsi" w:hAnsiTheme="majorHAnsi"/>
                <w:sz w:val="24"/>
                <w:szCs w:val="24"/>
              </w:rPr>
              <w:t>ода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 xml:space="preserve"> сложны</w:t>
            </w:r>
            <w:r w:rsidR="000B4EFD">
              <w:rPr>
                <w:rFonts w:asciiTheme="majorHAnsi" w:hAnsiTheme="majorHAnsi"/>
                <w:sz w:val="24"/>
                <w:szCs w:val="24"/>
              </w:rPr>
              <w:t>х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 xml:space="preserve"> переговор</w:t>
            </w:r>
            <w:r w:rsidR="000B4EFD">
              <w:rPr>
                <w:rFonts w:asciiTheme="majorHAnsi" w:hAnsiTheme="majorHAnsi"/>
                <w:sz w:val="24"/>
                <w:szCs w:val="24"/>
              </w:rPr>
              <w:t>ов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 xml:space="preserve"> в конструктивное русло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 xml:space="preserve"> использова</w:t>
            </w:r>
            <w:r w:rsidR="000B4EFD">
              <w:rPr>
                <w:rFonts w:asciiTheme="majorHAnsi" w:hAnsiTheme="majorHAnsi"/>
                <w:sz w:val="24"/>
                <w:szCs w:val="24"/>
              </w:rPr>
              <w:t>ние о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коло 25 приемов (для атаки, защиты, позиционной борьбы) при ведении переговоров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="000B4EFD" w:rsidRPr="000B4EFD">
              <w:rPr>
                <w:rFonts w:asciiTheme="majorHAnsi" w:hAnsiTheme="majorHAnsi"/>
                <w:sz w:val="24"/>
                <w:szCs w:val="24"/>
              </w:rPr>
              <w:t>защи</w:t>
            </w:r>
            <w:r w:rsidR="000B4EFD">
              <w:rPr>
                <w:rFonts w:asciiTheme="majorHAnsi" w:hAnsiTheme="majorHAnsi"/>
                <w:sz w:val="24"/>
                <w:szCs w:val="24"/>
              </w:rPr>
              <w:t xml:space="preserve">та от </w:t>
            </w:r>
            <w:proofErr w:type="spellStart"/>
            <w:r w:rsidR="000B4EFD">
              <w:rPr>
                <w:rFonts w:asciiTheme="majorHAnsi" w:hAnsiTheme="majorHAnsi"/>
                <w:sz w:val="24"/>
                <w:szCs w:val="24"/>
              </w:rPr>
              <w:t>манипулятивных</w:t>
            </w:r>
            <w:proofErr w:type="spellEnd"/>
            <w:r w:rsidR="000B4EFD">
              <w:rPr>
                <w:rFonts w:asciiTheme="majorHAnsi" w:hAnsiTheme="majorHAnsi"/>
                <w:sz w:val="24"/>
                <w:szCs w:val="24"/>
              </w:rPr>
              <w:t xml:space="preserve"> приемов</w:t>
            </w:r>
          </w:p>
        </w:tc>
        <w:tc>
          <w:tcPr>
            <w:tcW w:w="2410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навыковый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тренинг, кол-во участников 8-20</w:t>
            </w:r>
          </w:p>
        </w:tc>
        <w:tc>
          <w:tcPr>
            <w:tcW w:w="1643" w:type="dxa"/>
            <w:gridSpan w:val="2"/>
          </w:tcPr>
          <w:p w:rsidR="008B4A5F" w:rsidRPr="008B4A5F" w:rsidRDefault="004B4A16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6-12</w:t>
            </w:r>
          </w:p>
        </w:tc>
      </w:tr>
      <w:tr w:rsidR="008B4A5F" w:rsidRPr="008B4A5F" w:rsidTr="00C02645">
        <w:trPr>
          <w:trHeight w:val="3688"/>
        </w:trPr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8B4A5F" w:rsidRDefault="004B4A16" w:rsidP="008B4A5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B4EFD">
              <w:rPr>
                <w:rFonts w:asciiTheme="majorHAnsi" w:hAnsiTheme="majorHAnsi"/>
                <w:b/>
                <w:sz w:val="24"/>
                <w:szCs w:val="24"/>
              </w:rPr>
              <w:t>Ораторское мастерство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(на базе курса «Харизматичный оратор»). </w:t>
            </w:r>
            <w:proofErr w:type="gramStart"/>
            <w:r w:rsidRPr="004B4A16">
              <w:rPr>
                <w:rFonts w:asciiTheme="majorHAnsi" w:hAnsiTheme="majorHAnsi"/>
                <w:i/>
                <w:sz w:val="24"/>
                <w:szCs w:val="24"/>
              </w:rPr>
              <w:t>Может быть модифицирован в мастер-класс  с сокращением сроков обучения</w:t>
            </w:r>
            <w:proofErr w:type="gramEnd"/>
          </w:p>
          <w:p w:rsidR="000B4EFD" w:rsidRPr="008B4A5F" w:rsidRDefault="000B4EFD" w:rsidP="00AE56D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Параметры оценки публичного выступления. Отработка основной позы оратора, жестов, контакта глаз. Техника речи. </w:t>
            </w:r>
            <w:r w:rsidR="00C02645">
              <w:rPr>
                <w:rFonts w:asciiTheme="majorHAnsi" w:hAnsiTheme="majorHAnsi"/>
                <w:sz w:val="24"/>
                <w:szCs w:val="24"/>
              </w:rPr>
              <w:t xml:space="preserve">Приёмы для снятия волнения. </w:t>
            </w:r>
            <w:r>
              <w:rPr>
                <w:rFonts w:asciiTheme="majorHAnsi" w:hAnsiTheme="majorHAnsi"/>
                <w:sz w:val="24"/>
                <w:szCs w:val="24"/>
              </w:rPr>
              <w:t>Энергетика речи. Способы активизац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ии ау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дитории. Ответы на разные типы вопросов (утоняющие, провокационные, «непонятные»).  Словесная импровизация. Работа в разных жанрах (доклад, дискуссия, поздравление, объявление, </w:t>
            </w:r>
            <w:proofErr w:type="spellStart"/>
            <w:r w:rsidR="00C02645">
              <w:rPr>
                <w:rFonts w:asciiTheme="majorHAnsi" w:hAnsiTheme="majorHAnsi"/>
                <w:sz w:val="24"/>
                <w:szCs w:val="24"/>
              </w:rPr>
              <w:t>сторителлинг</w:t>
            </w:r>
            <w:proofErr w:type="spellEnd"/>
            <w:r w:rsidR="00C0264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тост и пр.). </w:t>
            </w:r>
          </w:p>
        </w:tc>
        <w:tc>
          <w:tcPr>
            <w:tcW w:w="2410" w:type="dxa"/>
          </w:tcPr>
          <w:p w:rsidR="008B4A5F" w:rsidRPr="008B4A5F" w:rsidRDefault="004B4A16" w:rsidP="004B4A1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B4A16">
              <w:rPr>
                <w:rFonts w:asciiTheme="majorHAnsi" w:hAnsiTheme="majorHAnsi"/>
                <w:sz w:val="24"/>
                <w:szCs w:val="24"/>
              </w:rPr>
              <w:t>навыковый</w:t>
            </w:r>
            <w:proofErr w:type="spellEnd"/>
            <w:r w:rsidRPr="004B4A16">
              <w:rPr>
                <w:rFonts w:asciiTheme="majorHAnsi" w:hAnsiTheme="majorHAnsi"/>
                <w:sz w:val="24"/>
                <w:szCs w:val="24"/>
              </w:rPr>
              <w:t xml:space="preserve"> тренинг, кол-во участников 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Pr="004B4A16"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1643" w:type="dxa"/>
            <w:gridSpan w:val="2"/>
          </w:tcPr>
          <w:p w:rsidR="008B4A5F" w:rsidRPr="008B4A5F" w:rsidRDefault="004B4A16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6-12</w:t>
            </w:r>
          </w:p>
        </w:tc>
      </w:tr>
      <w:tr w:rsidR="008B4A5F" w:rsidRPr="008B4A5F" w:rsidTr="00F10C70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02645" w:rsidRPr="00C02645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>Эффективная презентация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>мение составить эффективный и практичный план выступления:</w:t>
            </w:r>
          </w:p>
          <w:p w:rsidR="00C02645" w:rsidRPr="00C02645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sz w:val="24"/>
                <w:szCs w:val="24"/>
              </w:rPr>
              <w:t>корректировать этот план под конкретную аудито</w:t>
            </w:r>
            <w:r w:rsidR="00AE56DF">
              <w:rPr>
                <w:rFonts w:asciiTheme="majorHAnsi" w:hAnsiTheme="majorHAnsi"/>
                <w:sz w:val="24"/>
                <w:szCs w:val="24"/>
              </w:rPr>
              <w:t>рию, с учетом целей выступления.</w:t>
            </w:r>
          </w:p>
          <w:p w:rsidR="008B4A5F" w:rsidRPr="008B4A5F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sz w:val="24"/>
                <w:szCs w:val="24"/>
              </w:rPr>
              <w:t>Умение использовать около 10 приемов для донесения содержания: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>зачины, мотивация, многопозиционное описание, формулировка тезиса, предметы-метафоры, ключевая фраза, ответы на вопросы с встраиванием ид</w:t>
            </w:r>
            <w:r w:rsidR="00AE56DF">
              <w:rPr>
                <w:rFonts w:asciiTheme="majorHAnsi" w:hAnsiTheme="majorHAnsi"/>
                <w:sz w:val="24"/>
                <w:szCs w:val="24"/>
              </w:rPr>
              <w:t xml:space="preserve">еи, краткость в донесении мысли. 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 xml:space="preserve">Умение по ходу выступления гибко менять структуру презентации, </w:t>
            </w:r>
            <w:proofErr w:type="gramStart"/>
            <w:r w:rsidRPr="00C02645">
              <w:rPr>
                <w:rFonts w:asciiTheme="majorHAnsi" w:hAnsiTheme="majorHAnsi"/>
                <w:sz w:val="24"/>
                <w:szCs w:val="24"/>
              </w:rPr>
              <w:t>добавляя</w:t>
            </w:r>
            <w:proofErr w:type="gramEnd"/>
            <w:r w:rsidRPr="00C02645">
              <w:rPr>
                <w:rFonts w:asciiTheme="majorHAnsi" w:hAnsiTheme="majorHAnsi"/>
                <w:sz w:val="24"/>
                <w:szCs w:val="24"/>
              </w:rPr>
              <w:t>/убирая те или иные блоки.</w:t>
            </w:r>
          </w:p>
        </w:tc>
        <w:tc>
          <w:tcPr>
            <w:tcW w:w="2410" w:type="dxa"/>
          </w:tcPr>
          <w:p w:rsidR="008B4A5F" w:rsidRPr="008B4A5F" w:rsidRDefault="00C02645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навыковый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тренинг, кол-во участников 6-15</w:t>
            </w:r>
          </w:p>
        </w:tc>
        <w:tc>
          <w:tcPr>
            <w:tcW w:w="1643" w:type="dxa"/>
            <w:gridSpan w:val="2"/>
          </w:tcPr>
          <w:p w:rsidR="008B4A5F" w:rsidRPr="008B4A5F" w:rsidRDefault="00C02645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6-12</w:t>
            </w:r>
          </w:p>
        </w:tc>
      </w:tr>
      <w:tr w:rsidR="008B4A5F" w:rsidRPr="008B4A5F" w:rsidTr="00F10C70">
        <w:tc>
          <w:tcPr>
            <w:tcW w:w="675" w:type="dxa"/>
          </w:tcPr>
          <w:p w:rsidR="008B4A5F" w:rsidRPr="008B4A5F" w:rsidRDefault="004B4A16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02645" w:rsidRPr="00C02645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b/>
                <w:sz w:val="24"/>
                <w:szCs w:val="24"/>
              </w:rPr>
              <w:t>Профилактика речевой агрессии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>систематизаци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 xml:space="preserve"> знаний о речевой агрессии, её причинах, формах проявления и последствиях, о типах нападений и приёмах самозащиты.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Освоение п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>риём</w:t>
            </w:r>
            <w:r>
              <w:rPr>
                <w:rFonts w:asciiTheme="majorHAnsi" w:hAnsiTheme="majorHAnsi"/>
                <w:sz w:val="24"/>
                <w:szCs w:val="24"/>
              </w:rPr>
              <w:t>ов</w:t>
            </w:r>
            <w:r w:rsidRPr="00C0264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02645" w:rsidRPr="00C02645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sz w:val="24"/>
                <w:szCs w:val="24"/>
              </w:rPr>
              <w:t>сохранения состояния спокойного присутствия в ходе речевого нападения</w:t>
            </w:r>
          </w:p>
          <w:p w:rsidR="00C02645" w:rsidRPr="00C02645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sz w:val="24"/>
                <w:szCs w:val="24"/>
              </w:rPr>
              <w:t>снижения градуса агрессии партнёр</w:t>
            </w:r>
            <w:proofErr w:type="gramStart"/>
            <w:r w:rsidRPr="00C02645">
              <w:rPr>
                <w:rFonts w:asciiTheme="majorHAnsi" w:hAnsiTheme="majorHAnsi"/>
                <w:sz w:val="24"/>
                <w:szCs w:val="24"/>
              </w:rPr>
              <w:t>а(</w:t>
            </w:r>
            <w:proofErr w:type="spellStart"/>
            <w:proofErr w:type="gramEnd"/>
            <w:r w:rsidRPr="00C02645">
              <w:rPr>
                <w:rFonts w:asciiTheme="majorHAnsi" w:hAnsiTheme="majorHAnsi"/>
                <w:sz w:val="24"/>
                <w:szCs w:val="24"/>
              </w:rPr>
              <w:t>ов</w:t>
            </w:r>
            <w:proofErr w:type="spellEnd"/>
            <w:r w:rsidRPr="00C02645">
              <w:rPr>
                <w:rFonts w:asciiTheme="majorHAnsi" w:hAnsiTheme="majorHAnsi"/>
                <w:sz w:val="24"/>
                <w:szCs w:val="24"/>
              </w:rPr>
              <w:t>) по общению в ситуациях реактивной агрессии</w:t>
            </w:r>
          </w:p>
          <w:p w:rsidR="00C02645" w:rsidRPr="00C02645" w:rsidRDefault="00C02645" w:rsidP="00C0264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sz w:val="24"/>
                <w:szCs w:val="24"/>
              </w:rPr>
              <w:t xml:space="preserve">профилактики ситуаций речевой агрессии </w:t>
            </w:r>
          </w:p>
          <w:p w:rsidR="008B4A5F" w:rsidRPr="008B4A5F" w:rsidRDefault="00C02645" w:rsidP="00AE56D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02645">
              <w:rPr>
                <w:rFonts w:asciiTheme="majorHAnsi" w:hAnsiTheme="majorHAnsi"/>
                <w:sz w:val="24"/>
                <w:szCs w:val="24"/>
              </w:rPr>
              <w:t xml:space="preserve">речевой самообороны в ситуациях </w:t>
            </w:r>
            <w:proofErr w:type="spellStart"/>
            <w:r w:rsidRPr="00C02645">
              <w:rPr>
                <w:rFonts w:asciiTheme="majorHAnsi" w:hAnsiTheme="majorHAnsi"/>
                <w:sz w:val="24"/>
                <w:szCs w:val="24"/>
              </w:rPr>
              <w:t>проактивной</w:t>
            </w:r>
            <w:proofErr w:type="spellEnd"/>
            <w:r w:rsidRPr="00C02645">
              <w:rPr>
                <w:rFonts w:asciiTheme="majorHAnsi" w:hAnsiTheme="majorHAnsi"/>
                <w:sz w:val="24"/>
                <w:szCs w:val="24"/>
              </w:rPr>
              <w:t xml:space="preserve"> агрессии</w:t>
            </w:r>
          </w:p>
        </w:tc>
        <w:tc>
          <w:tcPr>
            <w:tcW w:w="2410" w:type="dxa"/>
          </w:tcPr>
          <w:p w:rsidR="008B4A5F" w:rsidRPr="008B4A5F" w:rsidRDefault="00AE56DF" w:rsidP="008B4A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навыковый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тренинг, кол-во участников 12-40</w:t>
            </w:r>
          </w:p>
        </w:tc>
        <w:tc>
          <w:tcPr>
            <w:tcW w:w="1643" w:type="dxa"/>
            <w:gridSpan w:val="2"/>
          </w:tcPr>
          <w:p w:rsidR="008B4A5F" w:rsidRPr="008B4A5F" w:rsidRDefault="00C02645" w:rsidP="008B4A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</w:tbl>
    <w:p w:rsidR="008B4A5F" w:rsidRDefault="008B4A5F" w:rsidP="008B4A5F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8B4A5F" w:rsidSect="00513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39" w:rsidRDefault="00FA7D39" w:rsidP="00F2380F">
      <w:pPr>
        <w:spacing w:after="0"/>
      </w:pPr>
      <w:r>
        <w:separator/>
      </w:r>
    </w:p>
  </w:endnote>
  <w:endnote w:type="continuationSeparator" w:id="0">
    <w:p w:rsidR="00FA7D39" w:rsidRDefault="00FA7D39" w:rsidP="00F23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F" w:rsidRDefault="00A505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59181"/>
      <w:docPartObj>
        <w:docPartGallery w:val="Page Numbers (Bottom of Page)"/>
        <w:docPartUnique/>
      </w:docPartObj>
    </w:sdtPr>
    <w:sdtEndPr/>
    <w:sdtContent>
      <w:p w:rsidR="00A5050F" w:rsidRDefault="00A505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5F">
          <w:rPr>
            <w:noProof/>
          </w:rPr>
          <w:t>3</w:t>
        </w:r>
        <w:r>
          <w:fldChar w:fldCharType="end"/>
        </w:r>
      </w:p>
    </w:sdtContent>
  </w:sdt>
  <w:p w:rsidR="00A5050F" w:rsidRDefault="00A505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F" w:rsidRDefault="00A5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39" w:rsidRDefault="00FA7D39" w:rsidP="00F2380F">
      <w:pPr>
        <w:spacing w:after="0"/>
      </w:pPr>
      <w:r>
        <w:separator/>
      </w:r>
    </w:p>
  </w:footnote>
  <w:footnote w:type="continuationSeparator" w:id="0">
    <w:p w:rsidR="00FA7D39" w:rsidRDefault="00FA7D39" w:rsidP="00F238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F" w:rsidRDefault="00A50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96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0"/>
      <w:gridCol w:w="5505"/>
    </w:tblGrid>
    <w:tr w:rsidR="00F2380F" w:rsidTr="00513B5E">
      <w:trPr>
        <w:trHeight w:val="1348"/>
      </w:trPr>
      <w:tc>
        <w:tcPr>
          <w:tcW w:w="6460" w:type="dxa"/>
        </w:tcPr>
        <w:p w:rsidR="00F2380F" w:rsidRDefault="00F2380F" w:rsidP="00513B5E">
          <w:pPr>
            <w:pStyle w:val="a3"/>
            <w:jc w:val="center"/>
          </w:pPr>
          <w:r w:rsidRPr="00F2380F">
            <w:rPr>
              <w:noProof/>
              <w:lang w:eastAsia="ru-RU"/>
            </w:rPr>
            <w:drawing>
              <wp:inline distT="0" distB="0" distL="0" distR="0" wp14:anchorId="7A5E01E7" wp14:editId="037BEE76">
                <wp:extent cx="3409950" cy="1028700"/>
                <wp:effectExtent l="19050" t="0" r="0" b="0"/>
                <wp:docPr id="2" name="Рисунок 0" descr="блан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.jpg"/>
                        <pic:cNvPicPr/>
                      </pic:nvPicPr>
                      <pic:blipFill>
                        <a:blip r:embed="rId1"/>
                        <a:srcRect b="13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F2380F" w:rsidRDefault="00F2380F" w:rsidP="00F2380F">
          <w:pPr>
            <w:pStyle w:val="a3"/>
          </w:pPr>
        </w:p>
        <w:p w:rsidR="00F2380F" w:rsidRDefault="00F2380F" w:rsidP="00F2380F">
          <w:pPr>
            <w:pStyle w:val="a3"/>
          </w:pPr>
        </w:p>
        <w:p w:rsidR="00F2380F" w:rsidRPr="00F2380F" w:rsidRDefault="00513B5E" w:rsidP="00F2380F">
          <w:pPr>
            <w:pStyle w:val="a3"/>
            <w:rPr>
              <w:rFonts w:ascii="HeliosCondC" w:hAnsi="HeliosCondC"/>
              <w:b/>
            </w:rPr>
          </w:pPr>
          <w:r>
            <w:rPr>
              <w:rFonts w:ascii="HeliosCondC" w:hAnsi="HeliosCondC"/>
              <w:b/>
            </w:rPr>
            <w:t xml:space="preserve">      </w:t>
          </w:r>
          <w:r w:rsidR="00F2380F" w:rsidRPr="00F2380F">
            <w:rPr>
              <w:rFonts w:ascii="HeliosCondC" w:hAnsi="HeliosCondC"/>
              <w:b/>
            </w:rPr>
            <w:t>г.</w:t>
          </w:r>
          <w:r w:rsidR="00F2380F">
            <w:rPr>
              <w:rFonts w:ascii="HeliosCondC" w:hAnsi="HeliosCondC"/>
              <w:b/>
            </w:rPr>
            <w:t xml:space="preserve"> </w:t>
          </w:r>
          <w:r w:rsidR="00F2380F" w:rsidRPr="00F2380F">
            <w:rPr>
              <w:rFonts w:ascii="HeliosCondC" w:hAnsi="HeliosCondC"/>
              <w:b/>
            </w:rPr>
            <w:t>Оренбург, ул.</w:t>
          </w:r>
          <w:r w:rsidR="00F2380F">
            <w:rPr>
              <w:rFonts w:ascii="HeliosCondC" w:hAnsi="HeliosCondC"/>
              <w:b/>
            </w:rPr>
            <w:t xml:space="preserve"> </w:t>
          </w:r>
          <w:proofErr w:type="gramStart"/>
          <w:r w:rsidR="00F2380F" w:rsidRPr="00F2380F">
            <w:rPr>
              <w:rFonts w:ascii="HeliosCondC" w:hAnsi="HeliosCondC"/>
              <w:b/>
            </w:rPr>
            <w:t>Туркестанская</w:t>
          </w:r>
          <w:proofErr w:type="gramEnd"/>
          <w:r w:rsidR="00F2380F" w:rsidRPr="00F2380F">
            <w:rPr>
              <w:rFonts w:ascii="HeliosCondC" w:hAnsi="HeliosCondC"/>
              <w:b/>
            </w:rPr>
            <w:t>, 14</w:t>
          </w:r>
        </w:p>
        <w:p w:rsidR="00F2380F" w:rsidRPr="00F2380F" w:rsidRDefault="00513B5E" w:rsidP="00F2380F">
          <w:pPr>
            <w:pStyle w:val="a3"/>
            <w:rPr>
              <w:rFonts w:ascii="HeliosCondC" w:hAnsi="HeliosCondC"/>
            </w:rPr>
          </w:pPr>
          <w:r>
            <w:rPr>
              <w:rFonts w:ascii="HeliosCondC" w:hAnsi="HeliosCondC"/>
            </w:rPr>
            <w:t xml:space="preserve">      </w:t>
          </w:r>
          <w:r w:rsidR="00F2380F" w:rsidRPr="00F2380F">
            <w:rPr>
              <w:rFonts w:ascii="HeliosCondC" w:hAnsi="HeliosCondC"/>
            </w:rPr>
            <w:t xml:space="preserve">тел.   +7 3532 31-91-78 </w:t>
          </w:r>
        </w:p>
        <w:p w:rsidR="00F2380F" w:rsidRPr="00F2380F" w:rsidRDefault="00513B5E" w:rsidP="00F2380F">
          <w:pPr>
            <w:pStyle w:val="a3"/>
            <w:rPr>
              <w:rFonts w:ascii="HeliosCondC" w:hAnsi="HeliosCondC"/>
            </w:rPr>
          </w:pPr>
          <w:r>
            <w:rPr>
              <w:rFonts w:ascii="HeliosCondC" w:hAnsi="HeliosCondC"/>
            </w:rPr>
            <w:t xml:space="preserve">      </w:t>
          </w:r>
          <w:r w:rsidR="00F2380F" w:rsidRPr="00F2380F">
            <w:rPr>
              <w:rFonts w:ascii="HeliosCondC" w:hAnsi="HeliosCondC"/>
            </w:rPr>
            <w:t>факс +7 3532 31-94-12</w:t>
          </w:r>
        </w:p>
        <w:p w:rsidR="00F2380F" w:rsidRPr="00F2380F" w:rsidRDefault="00513B5E" w:rsidP="00F2380F">
          <w:pPr>
            <w:pStyle w:val="a3"/>
            <w:rPr>
              <w:b/>
            </w:rPr>
          </w:pPr>
          <w:r>
            <w:rPr>
              <w:rFonts w:ascii="HeliosCondC" w:hAnsi="HeliosCondC"/>
              <w:b/>
            </w:rPr>
            <w:t xml:space="preserve">      </w:t>
          </w:r>
          <w:r w:rsidR="00F2380F" w:rsidRPr="00F2380F">
            <w:rPr>
              <w:rFonts w:ascii="HeliosCondC" w:hAnsi="HeliosCondC"/>
              <w:b/>
            </w:rPr>
            <w:t>www.orenprof.ru</w:t>
          </w:r>
        </w:p>
      </w:tc>
    </w:tr>
  </w:tbl>
  <w:p w:rsidR="00F2380F" w:rsidRDefault="00F2380F" w:rsidP="00F2380F">
    <w:pPr>
      <w:pStyle w:val="a3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F" w:rsidRDefault="00A505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02AC"/>
    <w:multiLevelType w:val="hybridMultilevel"/>
    <w:tmpl w:val="5C3E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80F"/>
    <w:rsid w:val="0003408E"/>
    <w:rsid w:val="000B4EFD"/>
    <w:rsid w:val="00264035"/>
    <w:rsid w:val="002F01AE"/>
    <w:rsid w:val="002F4A7A"/>
    <w:rsid w:val="00317FD6"/>
    <w:rsid w:val="0036223F"/>
    <w:rsid w:val="004934B2"/>
    <w:rsid w:val="004B4A16"/>
    <w:rsid w:val="004C1B3E"/>
    <w:rsid w:val="00513B5E"/>
    <w:rsid w:val="005E5188"/>
    <w:rsid w:val="00632468"/>
    <w:rsid w:val="00680C8C"/>
    <w:rsid w:val="006B0E3E"/>
    <w:rsid w:val="006C21B3"/>
    <w:rsid w:val="008B4A5F"/>
    <w:rsid w:val="0093754A"/>
    <w:rsid w:val="0097295F"/>
    <w:rsid w:val="00A44DAF"/>
    <w:rsid w:val="00A5050F"/>
    <w:rsid w:val="00AA4234"/>
    <w:rsid w:val="00AA5EC6"/>
    <w:rsid w:val="00AB0925"/>
    <w:rsid w:val="00AE56DF"/>
    <w:rsid w:val="00AF0FC7"/>
    <w:rsid w:val="00AF326F"/>
    <w:rsid w:val="00B82AA6"/>
    <w:rsid w:val="00BA05F4"/>
    <w:rsid w:val="00C02645"/>
    <w:rsid w:val="00C6661D"/>
    <w:rsid w:val="00D4064D"/>
    <w:rsid w:val="00D7467C"/>
    <w:rsid w:val="00DB1D33"/>
    <w:rsid w:val="00DE26BF"/>
    <w:rsid w:val="00DF4B55"/>
    <w:rsid w:val="00F2380F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80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2380F"/>
  </w:style>
  <w:style w:type="paragraph" w:styleId="a5">
    <w:name w:val="footer"/>
    <w:basedOn w:val="a"/>
    <w:link w:val="a6"/>
    <w:uiPriority w:val="99"/>
    <w:unhideWhenUsed/>
    <w:rsid w:val="00F2380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2380F"/>
  </w:style>
  <w:style w:type="paragraph" w:styleId="a7">
    <w:name w:val="Balloon Text"/>
    <w:basedOn w:val="a"/>
    <w:link w:val="a8"/>
    <w:uiPriority w:val="99"/>
    <w:semiHidden/>
    <w:unhideWhenUsed/>
    <w:rsid w:val="00F2380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380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6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Демидова Г. А.</cp:lastModifiedBy>
  <cp:revision>13</cp:revision>
  <cp:lastPrinted>2018-10-01T07:34:00Z</cp:lastPrinted>
  <dcterms:created xsi:type="dcterms:W3CDTF">2018-10-01T07:38:00Z</dcterms:created>
  <dcterms:modified xsi:type="dcterms:W3CDTF">2019-04-09T06:20:00Z</dcterms:modified>
</cp:coreProperties>
</file>